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D663" w14:textId="59DD5E0B" w:rsidR="00936D25" w:rsidRPr="00936D25" w:rsidRDefault="00936D25" w:rsidP="00936D25">
      <w:pPr>
        <w:spacing w:after="120"/>
        <w:jc w:val="center"/>
        <w:rPr>
          <w:rFonts w:ascii="Marianne" w:hAnsi="Marianne"/>
          <w:b/>
          <w:bCs/>
          <w:sz w:val="24"/>
          <w:u w:val="single"/>
        </w:rPr>
      </w:pPr>
      <w:r w:rsidRPr="00936D25">
        <w:rPr>
          <w:rFonts w:ascii="Marianne" w:hAnsi="Marianne"/>
          <w:b/>
          <w:bCs/>
          <w:sz w:val="24"/>
          <w:u w:val="single"/>
        </w:rPr>
        <w:t>Note de présentation du projet d’arrêté modifiant les seuils des étiquettes du diagnostic de performance énergétique pour les logements de petites surfaces</w:t>
      </w:r>
      <w:r w:rsidR="00AA03B9">
        <w:rPr>
          <w:rFonts w:ascii="Marianne" w:hAnsi="Marianne"/>
          <w:b/>
          <w:bCs/>
          <w:sz w:val="24"/>
          <w:u w:val="single"/>
        </w:rPr>
        <w:t xml:space="preserve"> et actualisant les tarifs de l’énergie</w:t>
      </w:r>
    </w:p>
    <w:p w14:paraId="74E55B85" w14:textId="77777777" w:rsidR="00936D25" w:rsidRDefault="00936D25" w:rsidP="00936D25">
      <w:pPr>
        <w:spacing w:after="120"/>
        <w:jc w:val="both"/>
        <w:rPr>
          <w:rFonts w:ascii="Marianne" w:hAnsi="Marianne"/>
          <w:b/>
          <w:bCs/>
          <w:sz w:val="21"/>
        </w:rPr>
      </w:pPr>
    </w:p>
    <w:p w14:paraId="1DF4E911" w14:textId="76E780F3" w:rsidR="00936D25" w:rsidRDefault="00936D25" w:rsidP="00936D25">
      <w:pPr>
        <w:spacing w:after="120"/>
        <w:jc w:val="both"/>
        <w:rPr>
          <w:rFonts w:ascii="Marianne" w:hAnsi="Marianne"/>
          <w:bCs/>
          <w:sz w:val="21"/>
        </w:rPr>
      </w:pPr>
      <w:r>
        <w:rPr>
          <w:rFonts w:ascii="Marianne" w:hAnsi="Marianne"/>
          <w:bCs/>
          <w:sz w:val="21"/>
        </w:rPr>
        <w:t>Le projet d’arrêté vise à modifier les seuils des étiquettes du diagnostic de performance énergétique (DPE) pour les logements de petite surface</w:t>
      </w:r>
      <w:r w:rsidR="002B713E">
        <w:rPr>
          <w:rFonts w:ascii="Marianne" w:hAnsi="Marianne"/>
          <w:bCs/>
          <w:sz w:val="21"/>
        </w:rPr>
        <w:t xml:space="preserve"> et à mettre à jour les tarifs</w:t>
      </w:r>
      <w:r w:rsidR="002B713E" w:rsidRPr="002B713E">
        <w:rPr>
          <w:rFonts w:ascii="Marianne" w:hAnsi="Marianne"/>
          <w:bCs/>
          <w:sz w:val="21"/>
        </w:rPr>
        <w:t xml:space="preserve"> </w:t>
      </w:r>
      <w:r w:rsidR="00171E7E">
        <w:rPr>
          <w:rFonts w:ascii="Marianne" w:hAnsi="Marianne"/>
          <w:bCs/>
          <w:sz w:val="21"/>
        </w:rPr>
        <w:t xml:space="preserve">de l’énergie </w:t>
      </w:r>
      <w:r w:rsidR="002B713E">
        <w:rPr>
          <w:rFonts w:ascii="Marianne" w:hAnsi="Marianne"/>
          <w:bCs/>
          <w:sz w:val="21"/>
        </w:rPr>
        <w:t>utilisés pour l’estimation des dépenses annuelles de consommation</w:t>
      </w:r>
      <w:r>
        <w:rPr>
          <w:rFonts w:ascii="Marianne" w:hAnsi="Marianne"/>
          <w:bCs/>
          <w:sz w:val="21"/>
        </w:rPr>
        <w:t xml:space="preserve">. </w:t>
      </w:r>
    </w:p>
    <w:p w14:paraId="72E0A0F6" w14:textId="77777777" w:rsidR="00184456" w:rsidRDefault="00184456" w:rsidP="000D2FB6">
      <w:pPr>
        <w:spacing w:after="120"/>
        <w:jc w:val="both"/>
        <w:rPr>
          <w:rFonts w:ascii="Marianne" w:hAnsi="Marianne"/>
          <w:bCs/>
          <w:sz w:val="21"/>
        </w:rPr>
      </w:pPr>
    </w:p>
    <w:p w14:paraId="579DEC71" w14:textId="5D2F22F1" w:rsidR="00936D25" w:rsidRPr="00900454" w:rsidRDefault="00936D25" w:rsidP="000D2FB6">
      <w:pPr>
        <w:spacing w:after="120"/>
        <w:jc w:val="both"/>
        <w:rPr>
          <w:rFonts w:ascii="Marianne" w:hAnsi="Marianne"/>
          <w:bCs/>
          <w:sz w:val="21"/>
        </w:rPr>
      </w:pPr>
      <w:r>
        <w:rPr>
          <w:rFonts w:ascii="Marianne" w:hAnsi="Marianne"/>
          <w:bCs/>
          <w:sz w:val="21"/>
        </w:rPr>
        <w:t>En effet, si la réforme de 2021 n’a conduit à aucun changement méthodologique propre aux logements de petites surfaces, l</w:t>
      </w:r>
      <w:r w:rsidRPr="00936D25">
        <w:rPr>
          <w:rFonts w:ascii="Marianne" w:hAnsi="Marianne"/>
          <w:bCs/>
          <w:sz w:val="21"/>
        </w:rPr>
        <w:t xml:space="preserve">es </w:t>
      </w:r>
      <w:r>
        <w:rPr>
          <w:rFonts w:ascii="Marianne" w:hAnsi="Marianne"/>
          <w:bCs/>
          <w:sz w:val="21"/>
        </w:rPr>
        <w:t>statistiques montrent que ces logements sont moins bien classés que la moyenne par le DPE</w:t>
      </w:r>
      <w:r>
        <w:rPr>
          <w:rFonts w:ascii="Calibri" w:hAnsi="Calibri" w:cs="Calibri"/>
          <w:bCs/>
          <w:sz w:val="21"/>
        </w:rPr>
        <w:t>.</w:t>
      </w:r>
      <w:r>
        <w:rPr>
          <w:rFonts w:ascii="Marianne" w:hAnsi="Marianne"/>
          <w:bCs/>
          <w:sz w:val="21"/>
        </w:rPr>
        <w:t xml:space="preserve"> Par exemple, au sein d</w:t>
      </w:r>
      <w:r w:rsidR="00747BE1">
        <w:rPr>
          <w:rFonts w:ascii="Marianne" w:hAnsi="Marianne"/>
          <w:bCs/>
          <w:sz w:val="21"/>
        </w:rPr>
        <w:t>es logements de moins de 3</w:t>
      </w:r>
      <w:r w:rsidRPr="00900454">
        <w:rPr>
          <w:rFonts w:ascii="Marianne" w:hAnsi="Marianne"/>
          <w:bCs/>
          <w:sz w:val="21"/>
        </w:rPr>
        <w:t xml:space="preserve">0m², </w:t>
      </w:r>
      <w:r w:rsidR="00747BE1">
        <w:rPr>
          <w:rFonts w:ascii="Marianne" w:hAnsi="Marianne"/>
          <w:bCs/>
          <w:sz w:val="21"/>
        </w:rPr>
        <w:t>34% des DPE</w:t>
      </w:r>
      <w:r>
        <w:rPr>
          <w:rFonts w:ascii="Marianne" w:hAnsi="Marianne"/>
          <w:bCs/>
          <w:sz w:val="21"/>
        </w:rPr>
        <w:t xml:space="preserve"> sont F ou G</w:t>
      </w:r>
      <w:r w:rsidR="000D2FB6">
        <w:rPr>
          <w:rFonts w:ascii="Marianne" w:hAnsi="Marianne"/>
          <w:bCs/>
          <w:sz w:val="21"/>
        </w:rPr>
        <w:t xml:space="preserve"> (</w:t>
      </w:r>
      <w:r w:rsidR="000D2FB6" w:rsidRPr="000D2FB6">
        <w:rPr>
          <w:rFonts w:ascii="Marianne" w:hAnsi="Marianne"/>
          <w:bCs/>
          <w:sz w:val="21"/>
        </w:rPr>
        <w:t>rapport du</w:t>
      </w:r>
      <w:r w:rsidR="000D2FB6">
        <w:rPr>
          <w:rFonts w:ascii="Marianne" w:hAnsi="Marianne"/>
          <w:bCs/>
          <w:sz w:val="21"/>
        </w:rPr>
        <w:t xml:space="preserve"> SDES publié le 27 juillet 2022</w:t>
      </w:r>
      <w:r w:rsidR="000D2FB6">
        <w:rPr>
          <w:rFonts w:ascii="Calibri" w:hAnsi="Calibri" w:cs="Calibri"/>
          <w:bCs/>
          <w:sz w:val="21"/>
        </w:rPr>
        <w:t> </w:t>
      </w:r>
      <w:r w:rsidR="00CC40BF">
        <w:rPr>
          <w:rFonts w:ascii="Marianne" w:hAnsi="Marianne"/>
          <w:bCs/>
          <w:sz w:val="21"/>
        </w:rPr>
        <w:t>«</w:t>
      </w:r>
      <w:r w:rsidR="00CC40BF">
        <w:rPr>
          <w:rFonts w:ascii="Calibri" w:hAnsi="Calibri" w:cs="Calibri"/>
          <w:bCs/>
          <w:sz w:val="21"/>
        </w:rPr>
        <w:t> </w:t>
      </w:r>
      <w:r w:rsidR="000D2FB6" w:rsidRPr="000D2FB6">
        <w:rPr>
          <w:rFonts w:ascii="Marianne" w:hAnsi="Marianne"/>
          <w:bCs/>
          <w:sz w:val="21"/>
        </w:rPr>
        <w:t>Etat du p</w:t>
      </w:r>
      <w:r w:rsidR="000D2FB6">
        <w:rPr>
          <w:rFonts w:ascii="Marianne" w:hAnsi="Marianne"/>
          <w:bCs/>
          <w:sz w:val="21"/>
        </w:rPr>
        <w:t>arc estimé au 1</w:t>
      </w:r>
      <w:r w:rsidR="000D2FB6" w:rsidRPr="00184456">
        <w:rPr>
          <w:rFonts w:ascii="Marianne" w:hAnsi="Marianne"/>
          <w:bCs/>
          <w:sz w:val="21"/>
          <w:vertAlign w:val="superscript"/>
        </w:rPr>
        <w:t>er</w:t>
      </w:r>
      <w:r w:rsidR="000D2FB6">
        <w:rPr>
          <w:rFonts w:ascii="Marianne" w:hAnsi="Marianne"/>
          <w:bCs/>
          <w:sz w:val="21"/>
        </w:rPr>
        <w:t xml:space="preserve"> Janvier 2022 sur les </w:t>
      </w:r>
      <w:r w:rsidR="000D2FB6" w:rsidRPr="000D2FB6">
        <w:rPr>
          <w:rFonts w:ascii="Marianne" w:hAnsi="Marianne"/>
          <w:bCs/>
          <w:sz w:val="21"/>
        </w:rPr>
        <w:t>résidences principales</w:t>
      </w:r>
      <w:r w:rsidR="00CC40BF">
        <w:rPr>
          <w:rFonts w:ascii="Calibri" w:hAnsi="Calibri" w:cs="Calibri"/>
          <w:bCs/>
          <w:sz w:val="21"/>
        </w:rPr>
        <w:t> </w:t>
      </w:r>
      <w:r w:rsidR="00CC40BF">
        <w:rPr>
          <w:rFonts w:ascii="Marianne" w:hAnsi="Marianne" w:cs="Marianne"/>
          <w:bCs/>
          <w:sz w:val="21"/>
        </w:rPr>
        <w:t>»</w:t>
      </w:r>
      <w:r w:rsidR="000D2FB6" w:rsidRPr="000D2FB6">
        <w:rPr>
          <w:rFonts w:ascii="Marianne" w:hAnsi="Marianne"/>
          <w:bCs/>
          <w:sz w:val="21"/>
        </w:rPr>
        <w:t>)</w:t>
      </w:r>
      <w:r>
        <w:rPr>
          <w:rFonts w:ascii="Marianne" w:hAnsi="Marianne"/>
          <w:bCs/>
          <w:sz w:val="21"/>
        </w:rPr>
        <w:t>.</w:t>
      </w:r>
    </w:p>
    <w:p w14:paraId="52E2808B" w14:textId="396B9E1A" w:rsidR="0085580C" w:rsidRDefault="00517C61" w:rsidP="0085580C">
      <w:pPr>
        <w:spacing w:after="120"/>
        <w:jc w:val="both"/>
        <w:rPr>
          <w:rFonts w:ascii="Marianne" w:hAnsi="Marianne"/>
          <w:bCs/>
          <w:sz w:val="21"/>
        </w:rPr>
      </w:pPr>
      <w:r w:rsidRPr="00517C61">
        <w:rPr>
          <w:rFonts w:ascii="Marianne" w:hAnsi="Marianne"/>
          <w:bCs/>
          <w:sz w:val="21"/>
        </w:rPr>
        <w:t>Ces différences sont dues à plusieurs facteurs, notamment une consommation d’eau chaude sanitaire ramenée au m²</w:t>
      </w:r>
      <w:r w:rsidR="0085580C">
        <w:rPr>
          <w:rFonts w:ascii="Marianne" w:hAnsi="Marianne"/>
          <w:bCs/>
          <w:sz w:val="21"/>
        </w:rPr>
        <w:t xml:space="preserve"> plus grande pour les petits logements</w:t>
      </w:r>
      <w:r w:rsidRPr="00517C61">
        <w:rPr>
          <w:rFonts w:ascii="Marianne" w:hAnsi="Marianne"/>
          <w:bCs/>
          <w:sz w:val="21"/>
        </w:rPr>
        <w:t xml:space="preserve">, ainsi qu’une plus grande compacité dans les très petits logements. </w:t>
      </w:r>
      <w:r w:rsidR="0085580C" w:rsidRPr="0085580C">
        <w:rPr>
          <w:rFonts w:ascii="Marianne" w:hAnsi="Marianne"/>
          <w:bCs/>
          <w:sz w:val="21"/>
        </w:rPr>
        <w:t>En effet, les consommations d’énergie étant exprimées par unité de surface (m</w:t>
      </w:r>
      <w:r w:rsidR="0085580C" w:rsidRPr="0085580C">
        <w:rPr>
          <w:rFonts w:ascii="Marianne" w:hAnsi="Marianne"/>
          <w:bCs/>
          <w:sz w:val="21"/>
          <w:vertAlign w:val="superscript"/>
        </w:rPr>
        <w:t>2</w:t>
      </w:r>
      <w:r w:rsidR="0085580C" w:rsidRPr="0085580C">
        <w:rPr>
          <w:rFonts w:ascii="Marianne" w:hAnsi="Marianne"/>
          <w:bCs/>
          <w:sz w:val="21"/>
        </w:rPr>
        <w:t>), les consommations d’énergie pour l’eau chaude sanitaire sont logiquement plus élevées, une fois ramenées au m</w:t>
      </w:r>
      <w:r w:rsidR="0085580C" w:rsidRPr="00541EF6">
        <w:rPr>
          <w:rFonts w:ascii="Marianne" w:hAnsi="Marianne"/>
          <w:bCs/>
          <w:sz w:val="21"/>
          <w:vertAlign w:val="superscript"/>
        </w:rPr>
        <w:t>2</w:t>
      </w:r>
      <w:r w:rsidR="0085580C" w:rsidRPr="0085580C">
        <w:rPr>
          <w:rFonts w:ascii="Marianne" w:hAnsi="Marianne"/>
          <w:bCs/>
          <w:sz w:val="21"/>
        </w:rPr>
        <w:t>, pour une petite surface par rapport à une plus grande surface, les besoins en eau chaude étant par exemple sensiblement les mêmes pour des logements de 20 et 30 m</w:t>
      </w:r>
      <w:r w:rsidR="0085580C" w:rsidRPr="00541EF6">
        <w:rPr>
          <w:rFonts w:ascii="Marianne" w:hAnsi="Marianne"/>
          <w:bCs/>
          <w:sz w:val="21"/>
          <w:vertAlign w:val="superscript"/>
        </w:rPr>
        <w:t>2</w:t>
      </w:r>
      <w:r w:rsidR="0085580C" w:rsidRPr="0085580C">
        <w:rPr>
          <w:rFonts w:ascii="Marianne" w:hAnsi="Marianne"/>
          <w:bCs/>
          <w:sz w:val="21"/>
        </w:rPr>
        <w:t>. Donc les étiquettes actuelles entraînent des difficultés plus grandes pour les propriétaires bailleurs pour les logements de petites surfaces, dans un contexte où ces propriétaires bailleurs se verront appliquer les mesures de gel de loyer</w:t>
      </w:r>
      <w:r w:rsidR="00E75571">
        <w:rPr>
          <w:rStyle w:val="Appelnotedebasdep"/>
          <w:rFonts w:ascii="Marianne" w:hAnsi="Marianne"/>
          <w:bCs/>
          <w:sz w:val="21"/>
        </w:rPr>
        <w:footnoteReference w:id="1"/>
      </w:r>
      <w:r w:rsidR="0085580C" w:rsidRPr="0085580C">
        <w:rPr>
          <w:rFonts w:ascii="Marianne" w:hAnsi="Marianne"/>
          <w:bCs/>
          <w:sz w:val="21"/>
        </w:rPr>
        <w:t xml:space="preserve"> et d’interdiction de location</w:t>
      </w:r>
      <w:r w:rsidR="00E75571">
        <w:rPr>
          <w:rStyle w:val="Appelnotedebasdep"/>
          <w:rFonts w:ascii="Marianne" w:hAnsi="Marianne"/>
          <w:bCs/>
          <w:sz w:val="21"/>
        </w:rPr>
        <w:footnoteReference w:id="2"/>
      </w:r>
      <w:r w:rsidR="0085580C" w:rsidRPr="0085580C">
        <w:rPr>
          <w:rFonts w:ascii="Marianne" w:hAnsi="Marianne"/>
          <w:bCs/>
          <w:sz w:val="21"/>
        </w:rPr>
        <w:t>.</w:t>
      </w:r>
    </w:p>
    <w:p w14:paraId="63371CC4" w14:textId="4EBC47D2" w:rsidR="002D1511" w:rsidRDefault="002D1511" w:rsidP="00936D25">
      <w:pPr>
        <w:spacing w:after="120"/>
        <w:jc w:val="both"/>
        <w:rPr>
          <w:rFonts w:ascii="Marianne" w:hAnsi="Marianne"/>
          <w:bCs/>
          <w:sz w:val="21"/>
        </w:rPr>
      </w:pPr>
      <w:r>
        <w:rPr>
          <w:rFonts w:ascii="Marianne" w:hAnsi="Marianne"/>
          <w:bCs/>
          <w:sz w:val="21"/>
        </w:rPr>
        <w:t>La méthode proposée se base sur une correction de l’effet identifié pour l’eau chaude sanitaire en retenant une surface de référence égale à 40m²</w:t>
      </w:r>
      <w:r w:rsidR="0082648F">
        <w:rPr>
          <w:rFonts w:ascii="Marianne" w:hAnsi="Marianne"/>
          <w:bCs/>
          <w:sz w:val="21"/>
        </w:rPr>
        <w:t>, ainsi qu’une correction liée à la compacité plus importante des logements de moins de 15m²</w:t>
      </w:r>
      <w:r>
        <w:rPr>
          <w:rFonts w:ascii="Marianne" w:hAnsi="Marianne"/>
          <w:bCs/>
          <w:sz w:val="21"/>
        </w:rPr>
        <w:t>.</w:t>
      </w:r>
    </w:p>
    <w:p w14:paraId="7766F5DE" w14:textId="77777777" w:rsidR="00E75571" w:rsidRDefault="00E75571" w:rsidP="00D3055F">
      <w:pPr>
        <w:spacing w:before="120" w:after="120"/>
        <w:jc w:val="both"/>
        <w:rPr>
          <w:rFonts w:ascii="Marianne" w:hAnsi="Marianne"/>
          <w:bCs/>
          <w:sz w:val="21"/>
        </w:rPr>
      </w:pPr>
    </w:p>
    <w:p w14:paraId="3482DFCC" w14:textId="3DF40113" w:rsidR="00AA03B9" w:rsidRDefault="00E75571" w:rsidP="00D3055F">
      <w:pPr>
        <w:spacing w:before="120" w:after="120"/>
        <w:jc w:val="both"/>
        <w:rPr>
          <w:rFonts w:ascii="Marianne" w:hAnsi="Marianne"/>
          <w:bCs/>
          <w:sz w:val="21"/>
        </w:rPr>
      </w:pPr>
      <w:r>
        <w:rPr>
          <w:rFonts w:ascii="Marianne" w:hAnsi="Marianne"/>
          <w:bCs/>
          <w:sz w:val="21"/>
        </w:rPr>
        <w:t>Par ailleurs</w:t>
      </w:r>
      <w:r w:rsidR="00AA03B9">
        <w:rPr>
          <w:rFonts w:ascii="Marianne" w:hAnsi="Marianne"/>
          <w:bCs/>
          <w:sz w:val="21"/>
        </w:rPr>
        <w:t>, le DPE contient une indication de la quantité annuelle d’énergie estimée pour chaque usage règlementaire selon une méthode de calcul conventionnelle, ainsi que l’évaluation de ces dépenses annuelles de consommation (L. 126-26</w:t>
      </w:r>
      <w:r w:rsidR="001D654C">
        <w:rPr>
          <w:rFonts w:ascii="Marianne" w:hAnsi="Marianne"/>
          <w:bCs/>
          <w:sz w:val="21"/>
        </w:rPr>
        <w:t xml:space="preserve"> du CCH</w:t>
      </w:r>
      <w:r w:rsidR="00AA03B9">
        <w:rPr>
          <w:rFonts w:ascii="Marianne" w:hAnsi="Marianne"/>
          <w:bCs/>
          <w:sz w:val="21"/>
        </w:rPr>
        <w:t>). Le présent arrêté vise à mettre à jour les tarifs de l’énergie utilisés pour l’estimation des dépenses annuelles de consommation.</w:t>
      </w:r>
    </w:p>
    <w:p w14:paraId="545777D9" w14:textId="77777777" w:rsidR="002D1511" w:rsidRDefault="002D1511" w:rsidP="00936D25">
      <w:pPr>
        <w:spacing w:after="120"/>
        <w:jc w:val="both"/>
        <w:rPr>
          <w:rFonts w:ascii="Marianne" w:hAnsi="Marianne"/>
          <w:bCs/>
          <w:sz w:val="21"/>
        </w:rPr>
      </w:pPr>
    </w:p>
    <w:p w14:paraId="4AB66FB6" w14:textId="18463469" w:rsidR="003D22DD" w:rsidRDefault="00352606" w:rsidP="00E62A16">
      <w:pPr>
        <w:spacing w:after="120"/>
        <w:jc w:val="both"/>
        <w:rPr>
          <w:rFonts w:ascii="Marianne" w:hAnsi="Marianne"/>
          <w:bCs/>
          <w:sz w:val="21"/>
        </w:rPr>
      </w:pPr>
      <w:r>
        <w:rPr>
          <w:rFonts w:ascii="Marianne" w:hAnsi="Marianne"/>
          <w:bCs/>
          <w:sz w:val="21"/>
        </w:rPr>
        <w:t>L</w:t>
      </w:r>
      <w:r w:rsidR="00E62A16">
        <w:rPr>
          <w:rFonts w:ascii="Marianne" w:hAnsi="Marianne"/>
          <w:bCs/>
          <w:sz w:val="21"/>
        </w:rPr>
        <w:t xml:space="preserve">es </w:t>
      </w:r>
      <w:r>
        <w:rPr>
          <w:rFonts w:ascii="Marianne" w:hAnsi="Marianne"/>
          <w:bCs/>
          <w:sz w:val="21"/>
        </w:rPr>
        <w:t>article</w:t>
      </w:r>
      <w:r w:rsidR="00E62A16">
        <w:rPr>
          <w:rFonts w:ascii="Marianne" w:hAnsi="Marianne"/>
          <w:bCs/>
          <w:sz w:val="21"/>
        </w:rPr>
        <w:t>s</w:t>
      </w:r>
      <w:r>
        <w:rPr>
          <w:rFonts w:ascii="Marianne" w:hAnsi="Marianne"/>
          <w:bCs/>
          <w:sz w:val="21"/>
        </w:rPr>
        <w:t xml:space="preserve"> 1</w:t>
      </w:r>
      <w:r w:rsidR="00E62A16" w:rsidRPr="00E62A16">
        <w:rPr>
          <w:rFonts w:ascii="Marianne" w:hAnsi="Marianne"/>
          <w:bCs/>
          <w:sz w:val="21"/>
          <w:vertAlign w:val="superscript"/>
        </w:rPr>
        <w:t>er</w:t>
      </w:r>
      <w:r w:rsidR="00E62A16">
        <w:rPr>
          <w:rFonts w:ascii="Marianne" w:hAnsi="Marianne"/>
          <w:bCs/>
          <w:sz w:val="21"/>
        </w:rPr>
        <w:t xml:space="preserve"> et 2</w:t>
      </w:r>
      <w:r>
        <w:rPr>
          <w:rFonts w:ascii="Marianne" w:hAnsi="Marianne"/>
          <w:bCs/>
          <w:sz w:val="21"/>
        </w:rPr>
        <w:t xml:space="preserve"> vise</w:t>
      </w:r>
      <w:r w:rsidR="00E62A16">
        <w:rPr>
          <w:rFonts w:ascii="Marianne" w:hAnsi="Marianne"/>
          <w:bCs/>
          <w:sz w:val="21"/>
        </w:rPr>
        <w:t>nt à modifier les arrêtés DPE en vigueur</w:t>
      </w:r>
      <w:r>
        <w:rPr>
          <w:rFonts w:ascii="Marianne" w:hAnsi="Marianne"/>
          <w:bCs/>
          <w:sz w:val="21"/>
        </w:rPr>
        <w:t xml:space="preserve"> </w:t>
      </w:r>
      <w:r w:rsidR="00E62A16">
        <w:rPr>
          <w:rFonts w:ascii="Marianne" w:hAnsi="Marianne"/>
          <w:bCs/>
          <w:sz w:val="21"/>
        </w:rPr>
        <w:t xml:space="preserve">afin de </w:t>
      </w:r>
      <w:r>
        <w:rPr>
          <w:rFonts w:ascii="Marianne" w:hAnsi="Marianne"/>
          <w:bCs/>
          <w:sz w:val="21"/>
        </w:rPr>
        <w:t xml:space="preserve">mettre en cohérence la réglementation avec les pratiques des diagnostiqueurs en ce qui concerne la surface à considérer pour le calcul du DPE en inscrivant la définition de la surface de référence dans </w:t>
      </w:r>
      <w:r w:rsidR="00E62A16">
        <w:rPr>
          <w:rFonts w:ascii="Marianne" w:hAnsi="Marianne"/>
          <w:bCs/>
          <w:sz w:val="21"/>
        </w:rPr>
        <w:t xml:space="preserve">la réglementation, et de </w:t>
      </w:r>
      <w:r>
        <w:rPr>
          <w:rFonts w:ascii="Marianne" w:hAnsi="Marianne"/>
          <w:bCs/>
          <w:sz w:val="21"/>
        </w:rPr>
        <w:t xml:space="preserve">modifier les seuils des étiquettes DPE pour les logements de petite surface dans l’annexe </w:t>
      </w:r>
      <w:r w:rsidR="000546FB">
        <w:rPr>
          <w:rFonts w:ascii="Marianne" w:hAnsi="Marianne"/>
          <w:bCs/>
          <w:sz w:val="21"/>
        </w:rPr>
        <w:t>5</w:t>
      </w:r>
      <w:r>
        <w:rPr>
          <w:rFonts w:ascii="Marianne" w:hAnsi="Marianne"/>
          <w:bCs/>
          <w:sz w:val="21"/>
        </w:rPr>
        <w:t xml:space="preserve"> de l’arrêté du 31 mars 2021 relatif </w:t>
      </w:r>
      <w:r w:rsidR="000546FB">
        <w:rPr>
          <w:rFonts w:ascii="Marianne" w:hAnsi="Marianne"/>
          <w:bCs/>
          <w:sz w:val="21"/>
        </w:rPr>
        <w:t xml:space="preserve">au </w:t>
      </w:r>
      <w:r w:rsidR="000546FB" w:rsidRPr="00E62A16">
        <w:rPr>
          <w:rFonts w:ascii="Marianne" w:hAnsi="Marianne"/>
          <w:bCs/>
          <w:sz w:val="21"/>
        </w:rPr>
        <w:t>diagnostic de performance énergétique pour les bâtiments ou parties de bâtiments à usage d’habitation en France métropolitaine</w:t>
      </w:r>
      <w:r>
        <w:rPr>
          <w:rFonts w:ascii="Marianne" w:hAnsi="Marianne"/>
          <w:bCs/>
          <w:sz w:val="21"/>
        </w:rPr>
        <w:t>.</w:t>
      </w:r>
    </w:p>
    <w:p w14:paraId="38F06E29" w14:textId="77777777" w:rsidR="00352606" w:rsidRPr="00900454" w:rsidRDefault="00352606" w:rsidP="00352606">
      <w:pPr>
        <w:spacing w:after="120"/>
        <w:jc w:val="both"/>
        <w:rPr>
          <w:rFonts w:ascii="Marianne" w:hAnsi="Marianne"/>
          <w:bCs/>
          <w:sz w:val="21"/>
        </w:rPr>
      </w:pPr>
      <w:r>
        <w:rPr>
          <w:rFonts w:ascii="Marianne" w:hAnsi="Marianne"/>
          <w:bCs/>
          <w:sz w:val="21"/>
        </w:rPr>
        <w:t xml:space="preserve">L’article 3 met en place </w:t>
      </w:r>
      <w:r w:rsidRPr="00900454">
        <w:rPr>
          <w:rFonts w:ascii="Marianne" w:hAnsi="Marianne"/>
          <w:bCs/>
          <w:sz w:val="21"/>
        </w:rPr>
        <w:t>une attestation de changement d’étiquette</w:t>
      </w:r>
      <w:r>
        <w:rPr>
          <w:rFonts w:ascii="Marianne" w:hAnsi="Marianne"/>
          <w:bCs/>
          <w:sz w:val="21"/>
        </w:rPr>
        <w:t xml:space="preserve"> pour les DPE déjà édités sur des logements de petite surface. Cette attestation sera</w:t>
      </w:r>
      <w:r w:rsidRPr="00900454">
        <w:rPr>
          <w:rFonts w:ascii="Marianne" w:hAnsi="Marianne"/>
          <w:bCs/>
          <w:sz w:val="21"/>
        </w:rPr>
        <w:t xml:space="preserve"> téléchargeable via le site </w:t>
      </w:r>
      <w:r w:rsidRPr="00900454">
        <w:rPr>
          <w:rFonts w:ascii="Marianne" w:hAnsi="Marianne"/>
          <w:bCs/>
          <w:sz w:val="21"/>
        </w:rPr>
        <w:lastRenderedPageBreak/>
        <w:t>de l’observatoire DPE de l’ADEME</w:t>
      </w:r>
      <w:r>
        <w:rPr>
          <w:rFonts w:ascii="Marianne" w:hAnsi="Marianne"/>
          <w:bCs/>
          <w:sz w:val="21"/>
        </w:rPr>
        <w:t xml:space="preserve">. </w:t>
      </w:r>
      <w:r w:rsidRPr="00900454">
        <w:rPr>
          <w:rFonts w:ascii="Marianne" w:hAnsi="Marianne"/>
          <w:bCs/>
          <w:sz w:val="21"/>
        </w:rPr>
        <w:t>Cette attestation fera alors foi pour justifier d’un nouvel état de performance énergétique conforme à la réglementation alors en vigueur une fois les seuils modifiés.</w:t>
      </w:r>
    </w:p>
    <w:p w14:paraId="3AFA3F70" w14:textId="66240ED0" w:rsidR="00AA03B9" w:rsidRPr="00D3055F" w:rsidRDefault="00AA03B9" w:rsidP="00D3055F">
      <w:pPr>
        <w:jc w:val="both"/>
        <w:rPr>
          <w:rFonts w:ascii="Marianne" w:hAnsi="Marianne" w:cs="Times New Roman"/>
          <w:bCs/>
          <w:sz w:val="21"/>
          <w:szCs w:val="21"/>
          <w:lang w:eastAsia="fr-FR"/>
        </w:rPr>
      </w:pPr>
      <w:r w:rsidRPr="00D02306">
        <w:rPr>
          <w:rFonts w:ascii="Marianne" w:hAnsi="Marianne" w:cs="Times New Roman"/>
          <w:bCs/>
          <w:sz w:val="21"/>
          <w:szCs w:val="21"/>
          <w:lang w:eastAsia="fr-FR"/>
        </w:rPr>
        <w:t xml:space="preserve">L’article </w:t>
      </w:r>
      <w:r>
        <w:rPr>
          <w:rFonts w:ascii="Marianne" w:hAnsi="Marianne" w:cs="Times New Roman"/>
          <w:bCs/>
          <w:sz w:val="21"/>
          <w:szCs w:val="21"/>
          <w:lang w:eastAsia="fr-FR"/>
        </w:rPr>
        <w:t>4</w:t>
      </w:r>
      <w:r w:rsidRPr="00D02306">
        <w:rPr>
          <w:rFonts w:ascii="Marianne" w:hAnsi="Marianne" w:cs="Times New Roman"/>
          <w:bCs/>
          <w:sz w:val="21"/>
          <w:szCs w:val="21"/>
          <w:lang w:eastAsia="fr-FR"/>
        </w:rPr>
        <w:t xml:space="preserve"> modifie l’annexe 7 relative à l’évaluation des tarifs annuels d’énergie de l’arrêté du 31 mars 2021 relatif au diagnostic de performance énergétique pour les bâtiments ou parties de bâtiments à usage d’habitation en France métropolitaine</w:t>
      </w:r>
      <w:r w:rsidR="0082648F">
        <w:rPr>
          <w:rFonts w:ascii="Marianne" w:hAnsi="Marianne" w:cs="Times New Roman"/>
          <w:bCs/>
          <w:sz w:val="21"/>
          <w:szCs w:val="21"/>
          <w:lang w:eastAsia="fr-FR"/>
        </w:rPr>
        <w:t>, et</w:t>
      </w:r>
      <w:r w:rsidR="0082648F">
        <w:rPr>
          <w:rFonts w:ascii="Marianne" w:hAnsi="Marianne" w:cs="Times New Roman"/>
          <w:sz w:val="21"/>
          <w:szCs w:val="21"/>
          <w:lang w:eastAsia="fr-FR"/>
        </w:rPr>
        <w:t xml:space="preserve"> actualise</w:t>
      </w:r>
      <w:r w:rsidRPr="00D02306">
        <w:rPr>
          <w:rFonts w:ascii="Marianne" w:hAnsi="Marianne" w:cs="Times New Roman"/>
          <w:sz w:val="21"/>
          <w:szCs w:val="21"/>
          <w:lang w:eastAsia="fr-FR"/>
        </w:rPr>
        <w:t xml:space="preserve"> </w:t>
      </w:r>
      <w:r w:rsidR="0082648F">
        <w:rPr>
          <w:rFonts w:ascii="Marianne" w:hAnsi="Marianne" w:cs="Times New Roman"/>
          <w:sz w:val="21"/>
          <w:szCs w:val="21"/>
          <w:lang w:eastAsia="fr-FR"/>
        </w:rPr>
        <w:t xml:space="preserve">(annexe 2) </w:t>
      </w:r>
      <w:r w:rsidRPr="00D02306">
        <w:rPr>
          <w:rFonts w:ascii="Marianne" w:hAnsi="Marianne" w:cs="Times New Roman"/>
          <w:sz w:val="21"/>
          <w:szCs w:val="21"/>
          <w:lang w:eastAsia="fr-FR"/>
        </w:rPr>
        <w:t>les tarifs de l’énergie grâce aux données du service des données et études statistiques (SDES)</w:t>
      </w:r>
      <w:r w:rsidR="0082648F">
        <w:rPr>
          <w:rFonts w:ascii="Marianne" w:hAnsi="Marianne" w:cs="Times New Roman"/>
          <w:sz w:val="21"/>
          <w:szCs w:val="21"/>
          <w:lang w:eastAsia="fr-FR"/>
        </w:rPr>
        <w:t xml:space="preserve"> du Ministère de la Transition Ecologique</w:t>
      </w:r>
      <w:r w:rsidRPr="00D02306">
        <w:rPr>
          <w:rFonts w:ascii="Marianne" w:hAnsi="Marianne" w:cs="Times New Roman"/>
          <w:sz w:val="21"/>
          <w:szCs w:val="21"/>
          <w:lang w:eastAsia="fr-FR"/>
        </w:rPr>
        <w:t>.</w:t>
      </w:r>
    </w:p>
    <w:p w14:paraId="37C9B05A" w14:textId="7EDE2116" w:rsidR="00352606" w:rsidRDefault="00352606" w:rsidP="00936D25">
      <w:pPr>
        <w:spacing w:after="120"/>
        <w:jc w:val="both"/>
        <w:rPr>
          <w:rFonts w:ascii="Marianne" w:hAnsi="Marianne"/>
          <w:bCs/>
          <w:sz w:val="21"/>
        </w:rPr>
      </w:pPr>
      <w:r>
        <w:rPr>
          <w:rFonts w:ascii="Marianne" w:hAnsi="Marianne"/>
          <w:bCs/>
          <w:sz w:val="21"/>
        </w:rPr>
        <w:t xml:space="preserve">L’article </w:t>
      </w:r>
      <w:r w:rsidR="00AA03B9">
        <w:rPr>
          <w:rFonts w:ascii="Marianne" w:hAnsi="Marianne"/>
          <w:bCs/>
          <w:sz w:val="21"/>
        </w:rPr>
        <w:t>5</w:t>
      </w:r>
      <w:r>
        <w:rPr>
          <w:rFonts w:ascii="Marianne" w:hAnsi="Marianne"/>
          <w:bCs/>
          <w:sz w:val="21"/>
        </w:rPr>
        <w:t xml:space="preserve"> précise que cet arrêté entrera en vigueur au 1</w:t>
      </w:r>
      <w:r w:rsidRPr="00352606">
        <w:rPr>
          <w:rFonts w:ascii="Marianne" w:hAnsi="Marianne"/>
          <w:bCs/>
          <w:sz w:val="21"/>
          <w:vertAlign w:val="superscript"/>
        </w:rPr>
        <w:t>er</w:t>
      </w:r>
      <w:r>
        <w:rPr>
          <w:rFonts w:ascii="Marianne" w:hAnsi="Marianne"/>
          <w:bCs/>
          <w:sz w:val="21"/>
        </w:rPr>
        <w:t xml:space="preserve"> </w:t>
      </w:r>
      <w:r w:rsidR="0064088F">
        <w:rPr>
          <w:rFonts w:ascii="Marianne" w:hAnsi="Marianne"/>
          <w:bCs/>
          <w:sz w:val="21"/>
        </w:rPr>
        <w:t>juillet</w:t>
      </w:r>
      <w:r>
        <w:rPr>
          <w:rFonts w:ascii="Marianne" w:hAnsi="Marianne"/>
          <w:bCs/>
          <w:sz w:val="21"/>
        </w:rPr>
        <w:t xml:space="preserve"> 2024.</w:t>
      </w:r>
    </w:p>
    <w:p w14:paraId="18F347A7" w14:textId="48108B96" w:rsidR="00161B34" w:rsidRDefault="00161B34">
      <w:pPr>
        <w:rPr>
          <w:rFonts w:ascii="Marianne" w:hAnsi="Marianne"/>
          <w:bCs/>
          <w:sz w:val="21"/>
        </w:rPr>
      </w:pPr>
      <w:r>
        <w:rPr>
          <w:rFonts w:ascii="Marianne" w:hAnsi="Marianne"/>
          <w:bCs/>
          <w:sz w:val="21"/>
        </w:rPr>
        <w:br w:type="page"/>
      </w:r>
    </w:p>
    <w:p w14:paraId="3DC7E2FE" w14:textId="06AFA44F" w:rsidR="00161B34" w:rsidRPr="00161B34" w:rsidRDefault="00161B34" w:rsidP="00161B34">
      <w:pPr>
        <w:spacing w:after="120"/>
        <w:jc w:val="center"/>
        <w:rPr>
          <w:rFonts w:ascii="Marianne" w:hAnsi="Marianne"/>
          <w:b/>
          <w:bCs/>
          <w:sz w:val="24"/>
          <w:u w:val="single"/>
        </w:rPr>
      </w:pPr>
      <w:r w:rsidRPr="00161B34">
        <w:rPr>
          <w:rFonts w:ascii="Marianne" w:hAnsi="Marianne"/>
          <w:b/>
          <w:bCs/>
          <w:sz w:val="24"/>
          <w:u w:val="single"/>
        </w:rPr>
        <w:lastRenderedPageBreak/>
        <w:t>Annexe</w:t>
      </w:r>
      <w:r w:rsidRPr="00161B34">
        <w:rPr>
          <w:rFonts w:ascii="Calibri" w:hAnsi="Calibri" w:cs="Calibri"/>
          <w:b/>
          <w:bCs/>
          <w:sz w:val="24"/>
          <w:u w:val="single"/>
        </w:rPr>
        <w:t> </w:t>
      </w:r>
      <w:r w:rsidRPr="00161B34">
        <w:rPr>
          <w:rFonts w:ascii="Marianne" w:hAnsi="Marianne"/>
          <w:b/>
          <w:bCs/>
          <w:sz w:val="24"/>
          <w:u w:val="single"/>
        </w:rPr>
        <w:t xml:space="preserve">: Présentation </w:t>
      </w:r>
      <w:r w:rsidR="0082648F">
        <w:rPr>
          <w:rFonts w:ascii="Marianne" w:hAnsi="Marianne"/>
          <w:b/>
          <w:bCs/>
          <w:sz w:val="24"/>
          <w:u w:val="single"/>
        </w:rPr>
        <w:t xml:space="preserve">de la </w:t>
      </w:r>
      <w:r w:rsidRPr="00161B34">
        <w:rPr>
          <w:rFonts w:ascii="Marianne" w:hAnsi="Marianne"/>
          <w:b/>
          <w:bCs/>
          <w:sz w:val="24"/>
          <w:u w:val="single"/>
        </w:rPr>
        <w:t>correction des seuils des étiquettes DPE</w:t>
      </w:r>
    </w:p>
    <w:p w14:paraId="4CF37C31" w14:textId="057E5D89" w:rsidR="00FE04C7" w:rsidRPr="00A34BE2" w:rsidRDefault="00A34BE2" w:rsidP="00936D25">
      <w:pPr>
        <w:spacing w:after="120"/>
        <w:jc w:val="both"/>
        <w:rPr>
          <w:rFonts w:ascii="Marianne" w:hAnsi="Marianne"/>
          <w:bCs/>
          <w:sz w:val="20"/>
          <w:szCs w:val="20"/>
        </w:rPr>
      </w:pPr>
      <w:r w:rsidRPr="00A34BE2">
        <w:rPr>
          <w:rFonts w:ascii="Marianne" w:hAnsi="Marianne"/>
          <w:bCs/>
          <w:sz w:val="20"/>
          <w:szCs w:val="20"/>
        </w:rPr>
        <w:t xml:space="preserve">De manière générale, </w:t>
      </w:r>
      <w:r w:rsidR="0082648F">
        <w:rPr>
          <w:rFonts w:ascii="Marianne" w:hAnsi="Marianne"/>
          <w:bCs/>
          <w:sz w:val="20"/>
          <w:szCs w:val="20"/>
        </w:rPr>
        <w:t xml:space="preserve">la </w:t>
      </w:r>
      <w:r w:rsidR="003A312B">
        <w:rPr>
          <w:rFonts w:ascii="Marianne" w:hAnsi="Marianne"/>
          <w:bCs/>
          <w:sz w:val="20"/>
          <w:szCs w:val="20"/>
        </w:rPr>
        <w:t>correction</w:t>
      </w:r>
      <w:r w:rsidR="0082648F">
        <w:rPr>
          <w:rFonts w:ascii="Marianne" w:hAnsi="Marianne"/>
          <w:bCs/>
          <w:sz w:val="20"/>
          <w:szCs w:val="20"/>
        </w:rPr>
        <w:t xml:space="preserve"> aboutit </w:t>
      </w:r>
      <w:r w:rsidRPr="00A34BE2">
        <w:rPr>
          <w:rFonts w:ascii="Marianne" w:hAnsi="Marianne"/>
          <w:bCs/>
          <w:sz w:val="20"/>
          <w:szCs w:val="20"/>
        </w:rPr>
        <w:t xml:space="preserve">à des seuils des étiquettes </w:t>
      </w:r>
      <w:r w:rsidR="003A312B">
        <w:rPr>
          <w:rFonts w:ascii="Marianne" w:hAnsi="Marianne"/>
          <w:bCs/>
          <w:sz w:val="20"/>
          <w:szCs w:val="20"/>
        </w:rPr>
        <w:t xml:space="preserve">DPE </w:t>
      </w:r>
      <w:r w:rsidRPr="00A34BE2">
        <w:rPr>
          <w:rFonts w:ascii="Marianne" w:hAnsi="Marianne"/>
          <w:bCs/>
          <w:sz w:val="20"/>
          <w:szCs w:val="20"/>
        </w:rPr>
        <w:t>variant en fonction de la surface des logements</w:t>
      </w:r>
      <w:r w:rsidR="003A312B">
        <w:rPr>
          <w:rFonts w:ascii="Marianne" w:hAnsi="Marianne"/>
          <w:bCs/>
          <w:sz w:val="20"/>
          <w:szCs w:val="20"/>
        </w:rPr>
        <w:t xml:space="preserve">, pour les logements de </w:t>
      </w:r>
      <w:r w:rsidR="003A312B" w:rsidRPr="00F66189">
        <w:rPr>
          <w:rFonts w:ascii="Marianne" w:hAnsi="Marianne"/>
          <w:sz w:val="20"/>
          <w:szCs w:val="20"/>
        </w:rPr>
        <w:t xml:space="preserve">de surface inférieure </w:t>
      </w:r>
      <w:r w:rsidR="003A312B">
        <w:rPr>
          <w:rFonts w:ascii="Marianne" w:hAnsi="Marianne"/>
          <w:sz w:val="20"/>
          <w:szCs w:val="20"/>
        </w:rPr>
        <w:t>à</w:t>
      </w:r>
      <w:r w:rsidR="003A312B">
        <w:rPr>
          <w:rFonts w:ascii="Marianne" w:hAnsi="Marianne"/>
          <w:bCs/>
          <w:sz w:val="20"/>
          <w:szCs w:val="20"/>
        </w:rPr>
        <w:t xml:space="preserve"> 40 m</w:t>
      </w:r>
      <w:r w:rsidR="003A312B" w:rsidRPr="003A312B">
        <w:rPr>
          <w:rFonts w:ascii="Marianne" w:hAnsi="Marianne"/>
          <w:bCs/>
          <w:sz w:val="20"/>
          <w:szCs w:val="20"/>
          <w:vertAlign w:val="superscript"/>
        </w:rPr>
        <w:t>2</w:t>
      </w:r>
      <w:r w:rsidRPr="00A34BE2">
        <w:rPr>
          <w:rFonts w:ascii="Marianne" w:hAnsi="Marianne"/>
          <w:bCs/>
          <w:sz w:val="20"/>
          <w:szCs w:val="20"/>
        </w:rPr>
        <w:t>.</w:t>
      </w:r>
    </w:p>
    <w:p w14:paraId="0CB1A1E7" w14:textId="500A409A" w:rsidR="003A312B" w:rsidRPr="00F66189" w:rsidRDefault="00161B34" w:rsidP="003A312B">
      <w:pPr>
        <w:spacing w:after="120"/>
        <w:jc w:val="both"/>
        <w:rPr>
          <w:rFonts w:ascii="Marianne" w:hAnsi="Marianne"/>
          <w:b/>
          <w:bCs/>
          <w:sz w:val="20"/>
          <w:szCs w:val="20"/>
          <w:u w:val="single"/>
        </w:rPr>
      </w:pPr>
      <w:r w:rsidRPr="00A34BE2">
        <w:rPr>
          <w:rFonts w:ascii="Marianne" w:hAnsi="Marianne"/>
          <w:b/>
          <w:bCs/>
          <w:sz w:val="20"/>
          <w:szCs w:val="20"/>
          <w:u w:val="single"/>
        </w:rPr>
        <w:t>A/ Correction associée à l’eau chaude sanitaire</w:t>
      </w:r>
      <w:r w:rsidR="003A312B" w:rsidRPr="003A312B">
        <w:rPr>
          <w:rFonts w:ascii="Marianne" w:hAnsi="Marianne"/>
          <w:b/>
          <w:bCs/>
          <w:sz w:val="20"/>
          <w:szCs w:val="20"/>
          <w:u w:val="single"/>
        </w:rPr>
        <w:t xml:space="preserve"> </w:t>
      </w:r>
      <w:r w:rsidR="003A312B" w:rsidRPr="00F66189">
        <w:rPr>
          <w:rFonts w:ascii="Marianne" w:hAnsi="Marianne"/>
          <w:b/>
          <w:bCs/>
          <w:sz w:val="20"/>
          <w:szCs w:val="20"/>
          <w:u w:val="single"/>
        </w:rPr>
        <w:t xml:space="preserve">pour les logements de moins de </w:t>
      </w:r>
      <w:r w:rsidR="003A312B">
        <w:rPr>
          <w:rFonts w:ascii="Marianne" w:hAnsi="Marianne"/>
          <w:b/>
          <w:bCs/>
          <w:sz w:val="20"/>
          <w:szCs w:val="20"/>
          <w:u w:val="single"/>
        </w:rPr>
        <w:t>40</w:t>
      </w:r>
      <w:r w:rsidR="003A312B" w:rsidRPr="00F66189">
        <w:rPr>
          <w:rFonts w:ascii="Marianne" w:hAnsi="Marianne"/>
          <w:b/>
          <w:bCs/>
          <w:sz w:val="20"/>
          <w:szCs w:val="20"/>
          <w:u w:val="single"/>
        </w:rPr>
        <w:t>m²</w:t>
      </w:r>
    </w:p>
    <w:p w14:paraId="4E67B9C2" w14:textId="35BD1321" w:rsidR="00A34BE2" w:rsidRPr="00A34BE2" w:rsidRDefault="003A312B" w:rsidP="00161B34">
      <w:pPr>
        <w:spacing w:after="0" w:line="240" w:lineRule="auto"/>
        <w:jc w:val="both"/>
        <w:rPr>
          <w:rFonts w:ascii="Marianne" w:hAnsi="Marianne"/>
          <w:bCs/>
          <w:sz w:val="20"/>
          <w:szCs w:val="20"/>
        </w:rPr>
      </w:pPr>
      <w:r>
        <w:rPr>
          <w:rFonts w:ascii="Marianne" w:hAnsi="Marianne"/>
          <w:bCs/>
          <w:sz w:val="20"/>
          <w:szCs w:val="20"/>
        </w:rPr>
        <w:t>Une première correction repose</w:t>
      </w:r>
      <w:r w:rsidR="00A34BE2" w:rsidRPr="00A34BE2">
        <w:rPr>
          <w:rFonts w:ascii="Marianne" w:hAnsi="Marianne"/>
          <w:bCs/>
          <w:sz w:val="20"/>
          <w:szCs w:val="20"/>
        </w:rPr>
        <w:t xml:space="preserve"> sur</w:t>
      </w:r>
      <w:r w:rsidR="00161B34" w:rsidRPr="00A34BE2">
        <w:rPr>
          <w:rFonts w:ascii="Marianne" w:hAnsi="Marianne"/>
          <w:bCs/>
          <w:sz w:val="20"/>
          <w:szCs w:val="20"/>
        </w:rPr>
        <w:t xml:space="preserve"> les consommations d’eau chaude sanitaire, qui </w:t>
      </w:r>
      <w:r>
        <w:rPr>
          <w:rFonts w:ascii="Marianne" w:hAnsi="Marianne"/>
          <w:bCs/>
          <w:sz w:val="20"/>
          <w:szCs w:val="20"/>
        </w:rPr>
        <w:t>sont</w:t>
      </w:r>
      <w:r w:rsidR="00161B34" w:rsidRPr="00A34BE2">
        <w:rPr>
          <w:rFonts w:ascii="Marianne" w:hAnsi="Marianne"/>
          <w:bCs/>
          <w:sz w:val="20"/>
          <w:szCs w:val="20"/>
        </w:rPr>
        <w:t xml:space="preserve"> à l’origine d’un biais systématique au détriment des petites surfaces</w:t>
      </w:r>
      <w:r>
        <w:rPr>
          <w:rFonts w:ascii="Marianne" w:hAnsi="Marianne"/>
          <w:bCs/>
          <w:sz w:val="20"/>
          <w:szCs w:val="20"/>
        </w:rPr>
        <w:t>, pour les logements de moins de 40 m</w:t>
      </w:r>
      <w:r w:rsidRPr="003A312B">
        <w:rPr>
          <w:rFonts w:ascii="Marianne" w:hAnsi="Marianne"/>
          <w:bCs/>
          <w:sz w:val="20"/>
          <w:szCs w:val="20"/>
          <w:vertAlign w:val="superscript"/>
        </w:rPr>
        <w:t>2</w:t>
      </w:r>
      <w:r w:rsidR="00161B34" w:rsidRPr="00A34BE2">
        <w:rPr>
          <w:rFonts w:ascii="Marianne" w:hAnsi="Marianne"/>
          <w:bCs/>
          <w:sz w:val="20"/>
          <w:szCs w:val="20"/>
        </w:rPr>
        <w:t xml:space="preserve">. </w:t>
      </w:r>
    </w:p>
    <w:p w14:paraId="2FA43055" w14:textId="02D21D52" w:rsidR="00A34BE2" w:rsidRPr="00A34BE2" w:rsidRDefault="00A34BE2" w:rsidP="00161B34">
      <w:pPr>
        <w:spacing w:after="0" w:line="240" w:lineRule="auto"/>
        <w:jc w:val="both"/>
        <w:rPr>
          <w:rFonts w:ascii="Marianne" w:hAnsi="Marianne"/>
          <w:bCs/>
          <w:sz w:val="20"/>
          <w:szCs w:val="20"/>
        </w:rPr>
      </w:pPr>
    </w:p>
    <w:p w14:paraId="3A638EBA" w14:textId="2FD9E087" w:rsidR="00A34BE2" w:rsidRPr="00A34BE2" w:rsidRDefault="00A34BE2" w:rsidP="00A34BE2">
      <w:pPr>
        <w:spacing w:after="0" w:line="240" w:lineRule="auto"/>
        <w:jc w:val="both"/>
        <w:rPr>
          <w:rFonts w:ascii="Marianne" w:hAnsi="Marianne"/>
          <w:bCs/>
          <w:sz w:val="20"/>
          <w:szCs w:val="20"/>
        </w:rPr>
      </w:pPr>
      <w:r w:rsidRPr="00A34BE2">
        <w:rPr>
          <w:rFonts w:ascii="Marianne" w:hAnsi="Marianne"/>
          <w:bCs/>
          <w:sz w:val="20"/>
          <w:szCs w:val="20"/>
        </w:rPr>
        <w:t>La méthodologie consiste à simuler l’écart de consommation d’énergie primaire surfacique d’ECS entre un logement d’une petite surface donnée et un logement de 40m</w:t>
      </w:r>
      <w:r w:rsidR="0082648F">
        <w:rPr>
          <w:rFonts w:ascii="Marianne" w:hAnsi="Marianne"/>
          <w:bCs/>
          <w:sz w:val="20"/>
          <w:szCs w:val="20"/>
        </w:rPr>
        <w:t>²</w:t>
      </w:r>
      <w:r w:rsidRPr="00A34BE2">
        <w:rPr>
          <w:rFonts w:ascii="Marianne" w:hAnsi="Marianne"/>
          <w:bCs/>
          <w:sz w:val="20"/>
          <w:szCs w:val="20"/>
        </w:rPr>
        <w:t xml:space="preserve"> (surface de référence) équipés tous deux d’un même système standardisé d’ECS. L’écart de consommation mesuré est ajouté aux seuils actuels des étiquettes pour </w:t>
      </w:r>
      <w:r w:rsidR="005E5ECC">
        <w:rPr>
          <w:rFonts w:ascii="Marianne" w:hAnsi="Marianne"/>
          <w:bCs/>
          <w:sz w:val="20"/>
          <w:szCs w:val="20"/>
        </w:rPr>
        <w:t xml:space="preserve">déterminer les nouveaux seuils. </w:t>
      </w:r>
      <w:r w:rsidRPr="00A34BE2">
        <w:rPr>
          <w:rFonts w:ascii="Marianne" w:hAnsi="Marianne"/>
          <w:bCs/>
          <w:sz w:val="20"/>
          <w:szCs w:val="20"/>
        </w:rPr>
        <w:t xml:space="preserve">Le système standardisé d’ECS considéré dépend de l’étiquette. La meilleure étiquette se voit attribuer </w:t>
      </w:r>
      <w:r w:rsidR="005E5ECC">
        <w:rPr>
          <w:rFonts w:ascii="Marianne" w:hAnsi="Marianne"/>
          <w:bCs/>
          <w:sz w:val="20"/>
          <w:szCs w:val="20"/>
        </w:rPr>
        <w:t>un système très</w:t>
      </w:r>
      <w:r w:rsidRPr="00A34BE2">
        <w:rPr>
          <w:rFonts w:ascii="Marianne" w:hAnsi="Marianne"/>
          <w:bCs/>
          <w:sz w:val="20"/>
          <w:szCs w:val="20"/>
        </w:rPr>
        <w:t xml:space="preserve"> performant. La pire</w:t>
      </w:r>
      <w:r w:rsidR="005E5ECC">
        <w:rPr>
          <w:rFonts w:ascii="Marianne" w:hAnsi="Marianne"/>
          <w:bCs/>
          <w:sz w:val="20"/>
          <w:szCs w:val="20"/>
        </w:rPr>
        <w:t xml:space="preserve"> étiquette se voit attribuer un système très peu</w:t>
      </w:r>
      <w:r w:rsidRPr="00A34BE2">
        <w:rPr>
          <w:rFonts w:ascii="Marianne" w:hAnsi="Marianne"/>
          <w:bCs/>
          <w:sz w:val="20"/>
          <w:szCs w:val="20"/>
        </w:rPr>
        <w:t xml:space="preserve"> performant. </w:t>
      </w:r>
    </w:p>
    <w:p w14:paraId="43DF5B53" w14:textId="1176A793" w:rsidR="00A34BE2" w:rsidRPr="00A34BE2" w:rsidRDefault="00A34BE2" w:rsidP="00A34BE2">
      <w:pPr>
        <w:spacing w:after="0" w:line="240" w:lineRule="auto"/>
        <w:jc w:val="both"/>
        <w:rPr>
          <w:rFonts w:ascii="Marianne" w:hAnsi="Marianne"/>
          <w:bCs/>
          <w:sz w:val="20"/>
          <w:szCs w:val="20"/>
        </w:rPr>
      </w:pPr>
    </w:p>
    <w:p w14:paraId="5FE19187" w14:textId="1238FEDB" w:rsidR="00352606" w:rsidRPr="00F66189" w:rsidRDefault="00FE04C7" w:rsidP="00936D25">
      <w:pPr>
        <w:spacing w:after="120"/>
        <w:jc w:val="both"/>
        <w:rPr>
          <w:rFonts w:ascii="Marianne" w:hAnsi="Marianne"/>
          <w:b/>
          <w:bCs/>
          <w:sz w:val="20"/>
          <w:szCs w:val="20"/>
          <w:u w:val="single"/>
        </w:rPr>
      </w:pPr>
      <w:r w:rsidRPr="00F66189">
        <w:rPr>
          <w:rFonts w:ascii="Marianne" w:hAnsi="Marianne"/>
          <w:b/>
          <w:bCs/>
          <w:sz w:val="20"/>
          <w:szCs w:val="20"/>
          <w:u w:val="single"/>
        </w:rPr>
        <w:t>B/ Correction associée au chauffage pour les logements de moins de 15m²</w:t>
      </w:r>
    </w:p>
    <w:p w14:paraId="0247209F" w14:textId="226BF092" w:rsidR="00FE04C7" w:rsidRPr="00F66189" w:rsidRDefault="00FE04C7" w:rsidP="00FE04C7">
      <w:pPr>
        <w:jc w:val="both"/>
        <w:rPr>
          <w:rFonts w:ascii="Marianne" w:hAnsi="Marianne"/>
          <w:sz w:val="20"/>
          <w:szCs w:val="20"/>
        </w:rPr>
      </w:pPr>
      <w:r w:rsidRPr="00F66189">
        <w:rPr>
          <w:rFonts w:ascii="Marianne" w:hAnsi="Marianne"/>
          <w:sz w:val="20"/>
          <w:szCs w:val="20"/>
        </w:rPr>
        <w:t xml:space="preserve">Une seconde </w:t>
      </w:r>
      <w:r w:rsidR="003A312B">
        <w:rPr>
          <w:rFonts w:ascii="Marianne" w:hAnsi="Marianne"/>
          <w:sz w:val="20"/>
          <w:szCs w:val="20"/>
        </w:rPr>
        <w:t>correction</w:t>
      </w:r>
      <w:r w:rsidRPr="00F66189">
        <w:rPr>
          <w:rFonts w:ascii="Marianne" w:hAnsi="Marianne"/>
          <w:sz w:val="20"/>
          <w:szCs w:val="20"/>
        </w:rPr>
        <w:t xml:space="preserve"> </w:t>
      </w:r>
      <w:r w:rsidR="003A312B">
        <w:rPr>
          <w:rFonts w:ascii="Marianne" w:hAnsi="Marianne"/>
          <w:sz w:val="20"/>
          <w:szCs w:val="20"/>
        </w:rPr>
        <w:t>porte</w:t>
      </w:r>
      <w:r w:rsidRPr="00F66189">
        <w:rPr>
          <w:rFonts w:ascii="Marianne" w:hAnsi="Marianne"/>
          <w:sz w:val="20"/>
          <w:szCs w:val="20"/>
        </w:rPr>
        <w:t xml:space="preserve"> sur le chauffage pour les logements de surface inférieure à 15m² au motif de difficultés importantes pour faire l’objet d’isolation. </w:t>
      </w:r>
    </w:p>
    <w:p w14:paraId="74931FAB" w14:textId="5BD70C1D" w:rsidR="00F66189" w:rsidRDefault="00FE04C7" w:rsidP="00FE04C7">
      <w:pPr>
        <w:jc w:val="both"/>
        <w:rPr>
          <w:rFonts w:ascii="Marianne" w:hAnsi="Marianne"/>
        </w:rPr>
      </w:pPr>
      <w:r w:rsidRPr="00F66189">
        <w:rPr>
          <w:rFonts w:ascii="Marianne" w:hAnsi="Marianne"/>
          <w:sz w:val="20"/>
          <w:szCs w:val="20"/>
        </w:rPr>
        <w:t xml:space="preserve">Cette méthode </w:t>
      </w:r>
      <w:r w:rsidR="00F66189">
        <w:rPr>
          <w:rFonts w:ascii="Marianne" w:hAnsi="Marianne"/>
          <w:sz w:val="20"/>
          <w:szCs w:val="20"/>
        </w:rPr>
        <w:t>se base sur</w:t>
      </w:r>
      <w:r w:rsidRPr="00F66189">
        <w:rPr>
          <w:rFonts w:ascii="Marianne" w:hAnsi="Marianne"/>
          <w:sz w:val="20"/>
          <w:szCs w:val="20"/>
        </w:rPr>
        <w:t xml:space="preserve"> l’impact du seul paramètre de surface sur les besoins en chauffage d</w:t>
      </w:r>
      <w:r w:rsidR="00F66189">
        <w:rPr>
          <w:rFonts w:ascii="Marianne" w:hAnsi="Marianne"/>
          <w:sz w:val="20"/>
          <w:szCs w:val="20"/>
        </w:rPr>
        <w:t>’</w:t>
      </w:r>
      <w:r w:rsidRPr="00F66189">
        <w:rPr>
          <w:rFonts w:ascii="Marianne" w:hAnsi="Marianne"/>
          <w:sz w:val="20"/>
          <w:szCs w:val="20"/>
        </w:rPr>
        <w:t>u</w:t>
      </w:r>
      <w:r w:rsidR="00F66189">
        <w:rPr>
          <w:rFonts w:ascii="Marianne" w:hAnsi="Marianne"/>
          <w:sz w:val="20"/>
          <w:szCs w:val="20"/>
        </w:rPr>
        <w:t>n</w:t>
      </w:r>
      <w:r w:rsidRPr="00F66189">
        <w:rPr>
          <w:rFonts w:ascii="Marianne" w:hAnsi="Marianne"/>
          <w:sz w:val="20"/>
          <w:szCs w:val="20"/>
        </w:rPr>
        <w:t xml:space="preserve"> logement.</w:t>
      </w:r>
      <w:r w:rsidR="00F66189">
        <w:rPr>
          <w:rFonts w:ascii="Marianne" w:hAnsi="Marianne"/>
          <w:sz w:val="20"/>
          <w:szCs w:val="20"/>
        </w:rPr>
        <w:t xml:space="preserve"> </w:t>
      </w:r>
      <w:r w:rsidR="00F66189" w:rsidRPr="00F66189">
        <w:rPr>
          <w:rFonts w:ascii="Marianne" w:hAnsi="Marianne"/>
          <w:sz w:val="20"/>
          <w:szCs w:val="20"/>
        </w:rPr>
        <w:t xml:space="preserve">Afin de déterminer des corrections différenciées pour chaque changement d’étiquette, la valeur de l’isolation des murs </w:t>
      </w:r>
      <w:r w:rsidR="00F66189">
        <w:rPr>
          <w:rFonts w:ascii="Marianne" w:hAnsi="Marianne"/>
          <w:sz w:val="20"/>
          <w:szCs w:val="20"/>
        </w:rPr>
        <w:t>varie.</w:t>
      </w:r>
      <w:r w:rsidR="00F66189" w:rsidRPr="00F66189">
        <w:rPr>
          <w:rFonts w:ascii="Marianne" w:hAnsi="Marianne"/>
          <w:sz w:val="20"/>
          <w:szCs w:val="20"/>
        </w:rPr>
        <w:t xml:space="preserve"> </w:t>
      </w:r>
      <w:r w:rsidRPr="00F66189">
        <w:rPr>
          <w:rFonts w:ascii="Marianne" w:hAnsi="Marianne"/>
          <w:sz w:val="20"/>
          <w:szCs w:val="20"/>
        </w:rPr>
        <w:t xml:space="preserve"> Elle aboutit à une correction supplémentaire pour les logements de moins de 15m² sur l’étiquette énergie</w:t>
      </w:r>
      <w:r w:rsidR="00F66189">
        <w:rPr>
          <w:rFonts w:ascii="Marianne" w:hAnsi="Marianne"/>
          <w:sz w:val="20"/>
          <w:szCs w:val="20"/>
        </w:rPr>
        <w:t xml:space="preserve"> </w:t>
      </w:r>
      <w:r w:rsidRPr="00F66189">
        <w:rPr>
          <w:rFonts w:ascii="Marianne" w:hAnsi="Marianne"/>
          <w:sz w:val="20"/>
          <w:szCs w:val="20"/>
        </w:rPr>
        <w:t>:</w:t>
      </w:r>
    </w:p>
    <w:p w14:paraId="34DAD8D2" w14:textId="62D21350" w:rsidR="003A312B" w:rsidRPr="00A34BE2" w:rsidRDefault="003A312B" w:rsidP="003A312B">
      <w:pPr>
        <w:spacing w:after="120"/>
        <w:jc w:val="both"/>
        <w:rPr>
          <w:rFonts w:ascii="Marianne" w:hAnsi="Marianne"/>
          <w:b/>
          <w:bCs/>
          <w:sz w:val="20"/>
          <w:szCs w:val="20"/>
          <w:u w:val="single"/>
        </w:rPr>
      </w:pPr>
      <w:r>
        <w:rPr>
          <w:rFonts w:ascii="Marianne" w:hAnsi="Marianne"/>
          <w:b/>
          <w:bCs/>
          <w:sz w:val="20"/>
          <w:szCs w:val="20"/>
          <w:u w:val="single"/>
        </w:rPr>
        <w:t>C</w:t>
      </w:r>
      <w:r w:rsidRPr="00A34BE2">
        <w:rPr>
          <w:rFonts w:ascii="Marianne" w:hAnsi="Marianne"/>
          <w:b/>
          <w:bCs/>
          <w:sz w:val="20"/>
          <w:szCs w:val="20"/>
          <w:u w:val="single"/>
        </w:rPr>
        <w:t xml:space="preserve">/ </w:t>
      </w:r>
      <w:r>
        <w:rPr>
          <w:rFonts w:ascii="Marianne" w:hAnsi="Marianne"/>
          <w:b/>
          <w:bCs/>
          <w:sz w:val="20"/>
          <w:szCs w:val="20"/>
          <w:u w:val="single"/>
        </w:rPr>
        <w:t>Résultats</w:t>
      </w:r>
    </w:p>
    <w:p w14:paraId="5E4C9881" w14:textId="2ED868BE" w:rsidR="003A312B" w:rsidRDefault="003A312B" w:rsidP="007C2629">
      <w:pPr>
        <w:rPr>
          <w:rFonts w:ascii="Marianne" w:hAnsi="Marianne"/>
          <w:sz w:val="20"/>
        </w:rPr>
      </w:pPr>
      <w:r>
        <w:rPr>
          <w:rFonts w:ascii="Marianne" w:hAnsi="Marianne"/>
          <w:sz w:val="20"/>
        </w:rPr>
        <w:t>Les nouveaux seuils pour les surfaces de 10, 20, 30 et 40 m</w:t>
      </w:r>
      <w:r w:rsidRPr="003A312B">
        <w:rPr>
          <w:rFonts w:ascii="Marianne" w:hAnsi="Marianne"/>
          <w:sz w:val="20"/>
          <w:vertAlign w:val="superscript"/>
        </w:rPr>
        <w:t>2</w:t>
      </w:r>
      <w:r>
        <w:rPr>
          <w:rFonts w:ascii="Marianne" w:hAnsi="Marianne"/>
          <w:sz w:val="20"/>
        </w:rPr>
        <w:t xml:space="preserve"> sont les suivants. Pour les surfaces intermédiaires, voir le détail des seuils en annexe du projet d’arrêté. Les seuils des étiquettes </w:t>
      </w:r>
      <w:r w:rsidR="00433782">
        <w:rPr>
          <w:rFonts w:ascii="Marianne" w:hAnsi="Marianne"/>
          <w:sz w:val="20"/>
        </w:rPr>
        <w:t xml:space="preserve">DPE </w:t>
      </w:r>
      <w:r>
        <w:rPr>
          <w:rFonts w:ascii="Marianne" w:hAnsi="Marianne"/>
          <w:sz w:val="20"/>
        </w:rPr>
        <w:t>pour les logements de surface supérieure à 40 m</w:t>
      </w:r>
      <w:r w:rsidRPr="003A312B">
        <w:rPr>
          <w:rFonts w:ascii="Marianne" w:hAnsi="Marianne"/>
          <w:sz w:val="20"/>
          <w:vertAlign w:val="superscript"/>
        </w:rPr>
        <w:t>2</w:t>
      </w:r>
      <w:r>
        <w:rPr>
          <w:rFonts w:ascii="Marianne" w:hAnsi="Marianne"/>
          <w:sz w:val="20"/>
        </w:rPr>
        <w:t xml:space="preserve"> ne sont pas modifiés.</w:t>
      </w:r>
    </w:p>
    <w:p w14:paraId="747617EA" w14:textId="6C32B075" w:rsidR="003A312B" w:rsidRDefault="00433782" w:rsidP="007C2629">
      <w:pPr>
        <w:rPr>
          <w:rFonts w:ascii="Marianne" w:hAnsi="Marianne"/>
          <w:sz w:val="20"/>
        </w:rPr>
      </w:pPr>
      <w:r>
        <w:rPr>
          <w:rFonts w:ascii="Marianne" w:hAnsi="Marianne"/>
          <w:noProof/>
          <w:sz w:val="20"/>
          <w:szCs w:val="20"/>
          <w:lang w:eastAsia="fr-FR"/>
        </w:rPr>
        <w:drawing>
          <wp:inline distT="0" distB="0" distL="0" distR="0" wp14:anchorId="6FA85C3B" wp14:editId="2FB84389">
            <wp:extent cx="5760720" cy="2436169"/>
            <wp:effectExtent l="0" t="0" r="0"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36169"/>
                    </a:xfrm>
                    <a:prstGeom prst="rect">
                      <a:avLst/>
                    </a:prstGeom>
                    <a:noFill/>
                  </pic:spPr>
                </pic:pic>
              </a:graphicData>
            </a:graphic>
          </wp:inline>
        </w:drawing>
      </w:r>
    </w:p>
    <w:p w14:paraId="46DCAF89" w14:textId="77777777" w:rsidR="006C3F62" w:rsidRDefault="006C3F62">
      <w:pPr>
        <w:rPr>
          <w:rFonts w:ascii="Marianne" w:hAnsi="Marianne"/>
          <w:b/>
          <w:bCs/>
          <w:sz w:val="20"/>
          <w:szCs w:val="20"/>
          <w:u w:val="single"/>
        </w:rPr>
      </w:pPr>
      <w:r>
        <w:rPr>
          <w:rFonts w:ascii="Marianne" w:hAnsi="Marianne"/>
          <w:b/>
          <w:bCs/>
          <w:sz w:val="20"/>
          <w:szCs w:val="20"/>
          <w:u w:val="single"/>
        </w:rPr>
        <w:br w:type="page"/>
      </w:r>
    </w:p>
    <w:p w14:paraId="6CABBAEC" w14:textId="5B3978D0" w:rsidR="003A312B" w:rsidRPr="00A34BE2" w:rsidRDefault="003A312B" w:rsidP="003A312B">
      <w:pPr>
        <w:spacing w:after="120"/>
        <w:jc w:val="both"/>
        <w:rPr>
          <w:rFonts w:ascii="Marianne" w:hAnsi="Marianne"/>
          <w:b/>
          <w:bCs/>
          <w:sz w:val="20"/>
          <w:szCs w:val="20"/>
          <w:u w:val="single"/>
        </w:rPr>
      </w:pPr>
      <w:r>
        <w:rPr>
          <w:rFonts w:ascii="Marianne" w:hAnsi="Marianne"/>
          <w:b/>
          <w:bCs/>
          <w:sz w:val="20"/>
          <w:szCs w:val="20"/>
          <w:u w:val="single"/>
        </w:rPr>
        <w:lastRenderedPageBreak/>
        <w:t>D</w:t>
      </w:r>
      <w:r w:rsidRPr="00A34BE2">
        <w:rPr>
          <w:rFonts w:ascii="Marianne" w:hAnsi="Marianne"/>
          <w:b/>
          <w:bCs/>
          <w:sz w:val="20"/>
          <w:szCs w:val="20"/>
          <w:u w:val="single"/>
        </w:rPr>
        <w:t xml:space="preserve">/ </w:t>
      </w:r>
      <w:r>
        <w:rPr>
          <w:rFonts w:ascii="Marianne" w:hAnsi="Marianne"/>
          <w:b/>
          <w:bCs/>
          <w:sz w:val="20"/>
          <w:szCs w:val="20"/>
          <w:u w:val="single"/>
        </w:rPr>
        <w:t>Impacts</w:t>
      </w:r>
    </w:p>
    <w:p w14:paraId="0FA38621" w14:textId="6A70AE3E" w:rsidR="007C2629" w:rsidRPr="00161B34" w:rsidRDefault="003A312B" w:rsidP="006E5B29">
      <w:pPr>
        <w:jc w:val="both"/>
        <w:rPr>
          <w:rFonts w:ascii="Marianne" w:eastAsiaTheme="majorEastAsia" w:hAnsi="Marianne" w:cstheme="majorBidi"/>
          <w:color w:val="2E74B5" w:themeColor="accent1" w:themeShade="BF"/>
          <w:sz w:val="20"/>
          <w:szCs w:val="20"/>
        </w:rPr>
      </w:pPr>
      <w:r>
        <w:rPr>
          <w:rFonts w:ascii="Marianne" w:hAnsi="Marianne"/>
          <w:sz w:val="20"/>
        </w:rPr>
        <w:t xml:space="preserve">Les </w:t>
      </w:r>
      <w:r w:rsidR="007C2629">
        <w:rPr>
          <w:rFonts w:ascii="Marianne" w:hAnsi="Marianne"/>
          <w:sz w:val="20"/>
        </w:rPr>
        <w:t>impacts des scénarios sur le parc de résidences principales ont été modélisés et un résumé est décrit dans le tableau ci-dessous</w:t>
      </w:r>
      <w:r w:rsidR="007C2629">
        <w:rPr>
          <w:rFonts w:ascii="Calibri" w:hAnsi="Calibri" w:cs="Calibri"/>
          <w:sz w:val="20"/>
        </w:rPr>
        <w:t> </w:t>
      </w:r>
      <w:r w:rsidR="007C2629">
        <w:rPr>
          <w:rFonts w:ascii="Marianne" w:hAnsi="Marianne"/>
          <w:sz w:val="20"/>
        </w:rPr>
        <w:t>:</w:t>
      </w:r>
    </w:p>
    <w:p w14:paraId="562F07A8" w14:textId="77777777" w:rsidR="00F31AAE" w:rsidRPr="00A34BE2" w:rsidRDefault="00F31AAE" w:rsidP="007C2629">
      <w:pPr>
        <w:spacing w:after="120"/>
        <w:jc w:val="both"/>
        <w:rPr>
          <w:rFonts w:ascii="Marianne" w:hAnsi="Marianne"/>
          <w:bCs/>
          <w:sz w:val="20"/>
          <w:szCs w:val="20"/>
        </w:rPr>
      </w:pPr>
    </w:p>
    <w:tbl>
      <w:tblPr>
        <w:tblW w:w="9462" w:type="dxa"/>
        <w:tblCellMar>
          <w:left w:w="70" w:type="dxa"/>
          <w:right w:w="70" w:type="dxa"/>
        </w:tblCellMar>
        <w:tblLook w:val="04A0" w:firstRow="1" w:lastRow="0" w:firstColumn="1" w:lastColumn="0" w:noHBand="0" w:noVBand="1"/>
      </w:tblPr>
      <w:tblGrid>
        <w:gridCol w:w="2299"/>
        <w:gridCol w:w="1588"/>
        <w:gridCol w:w="1504"/>
        <w:gridCol w:w="1227"/>
        <w:gridCol w:w="1422"/>
        <w:gridCol w:w="1422"/>
      </w:tblGrid>
      <w:tr w:rsidR="00F94205" w:rsidRPr="00F31AAE" w14:paraId="34A7A1E9" w14:textId="77777777" w:rsidTr="008F53C4">
        <w:trPr>
          <w:trHeight w:val="359"/>
        </w:trPr>
        <w:tc>
          <w:tcPr>
            <w:tcW w:w="2299" w:type="dxa"/>
            <w:tcBorders>
              <w:top w:val="nil"/>
              <w:left w:val="nil"/>
              <w:bottom w:val="nil"/>
              <w:right w:val="single" w:sz="12" w:space="0" w:color="auto"/>
            </w:tcBorders>
            <w:shd w:val="clear" w:color="auto" w:fill="auto"/>
            <w:noWrap/>
            <w:vAlign w:val="bottom"/>
            <w:hideMark/>
          </w:tcPr>
          <w:p w14:paraId="270F8164" w14:textId="77777777" w:rsidR="00F94205" w:rsidRPr="00F31AAE" w:rsidRDefault="00F94205" w:rsidP="003C2B5F">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3092" w:type="dxa"/>
            <w:gridSpan w:val="2"/>
            <w:tcBorders>
              <w:top w:val="single" w:sz="12" w:space="0" w:color="auto"/>
              <w:left w:val="nil"/>
              <w:bottom w:val="single" w:sz="12" w:space="0" w:color="auto"/>
              <w:right w:val="single" w:sz="12" w:space="0" w:color="000000"/>
            </w:tcBorders>
            <w:shd w:val="clear" w:color="000000" w:fill="FFF2CC"/>
            <w:noWrap/>
            <w:vAlign w:val="center"/>
            <w:hideMark/>
          </w:tcPr>
          <w:p w14:paraId="18E38F21"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&lt; 40m²</w:t>
            </w:r>
          </w:p>
        </w:tc>
        <w:tc>
          <w:tcPr>
            <w:tcW w:w="1227" w:type="dxa"/>
            <w:tcBorders>
              <w:top w:val="single" w:sz="12" w:space="0" w:color="auto"/>
              <w:left w:val="nil"/>
              <w:bottom w:val="single" w:sz="12" w:space="0" w:color="auto"/>
              <w:right w:val="single" w:sz="12" w:space="0" w:color="auto"/>
            </w:tcBorders>
            <w:shd w:val="clear" w:color="000000" w:fill="FFF2CC"/>
            <w:noWrap/>
            <w:vAlign w:val="center"/>
            <w:hideMark/>
          </w:tcPr>
          <w:p w14:paraId="6CF6A87F"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&gt; 40m²</w:t>
            </w:r>
          </w:p>
        </w:tc>
        <w:tc>
          <w:tcPr>
            <w:tcW w:w="2844" w:type="dxa"/>
            <w:gridSpan w:val="2"/>
            <w:tcBorders>
              <w:top w:val="single" w:sz="12" w:space="0" w:color="auto"/>
              <w:left w:val="nil"/>
              <w:bottom w:val="single" w:sz="12" w:space="0" w:color="auto"/>
              <w:right w:val="single" w:sz="12" w:space="0" w:color="000000"/>
            </w:tcBorders>
            <w:shd w:val="clear" w:color="000000" w:fill="85BD5F"/>
            <w:vAlign w:val="center"/>
            <w:hideMark/>
          </w:tcPr>
          <w:p w14:paraId="4DAB033A" w14:textId="77777777" w:rsidR="00F94205" w:rsidRPr="00F31AAE" w:rsidRDefault="00F94205" w:rsidP="003C2B5F">
            <w:pPr>
              <w:spacing w:after="0" w:line="240" w:lineRule="auto"/>
              <w:jc w:val="center"/>
              <w:rPr>
                <w:rFonts w:ascii="Marianne" w:eastAsia="Times New Roman" w:hAnsi="Marianne" w:cs="Calibri"/>
                <w:b/>
                <w:bCs/>
                <w:i/>
                <w:iCs/>
                <w:color w:val="000000"/>
                <w:sz w:val="20"/>
                <w:szCs w:val="20"/>
                <w:lang w:eastAsia="fr-FR"/>
              </w:rPr>
            </w:pPr>
            <w:r w:rsidRPr="00F31AAE">
              <w:rPr>
                <w:rFonts w:ascii="Marianne" w:eastAsia="Times New Roman" w:hAnsi="Marianne" w:cs="Calibri"/>
                <w:b/>
                <w:bCs/>
                <w:i/>
                <w:iCs/>
                <w:color w:val="000000"/>
                <w:sz w:val="20"/>
                <w:szCs w:val="20"/>
                <w:lang w:eastAsia="fr-FR"/>
              </w:rPr>
              <w:t xml:space="preserve">Ensemble du parc </w:t>
            </w:r>
          </w:p>
        </w:tc>
      </w:tr>
      <w:tr w:rsidR="008F53C4" w:rsidRPr="00F31AAE" w14:paraId="2C275C98" w14:textId="77777777" w:rsidTr="008F53C4">
        <w:trPr>
          <w:trHeight w:val="311"/>
        </w:trPr>
        <w:tc>
          <w:tcPr>
            <w:tcW w:w="2299" w:type="dxa"/>
            <w:tcBorders>
              <w:top w:val="nil"/>
              <w:left w:val="nil"/>
              <w:bottom w:val="single" w:sz="12" w:space="0" w:color="auto"/>
              <w:right w:val="single" w:sz="12" w:space="0" w:color="auto"/>
            </w:tcBorders>
            <w:shd w:val="clear" w:color="auto" w:fill="auto"/>
            <w:noWrap/>
            <w:vAlign w:val="bottom"/>
            <w:hideMark/>
          </w:tcPr>
          <w:p w14:paraId="1DFB3952" w14:textId="77777777" w:rsidR="008F53C4" w:rsidRPr="00F31AAE" w:rsidRDefault="008F53C4" w:rsidP="008F53C4">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1588" w:type="dxa"/>
            <w:tcBorders>
              <w:top w:val="nil"/>
              <w:left w:val="nil"/>
              <w:bottom w:val="single" w:sz="12" w:space="0" w:color="auto"/>
              <w:right w:val="single" w:sz="12" w:space="0" w:color="auto"/>
            </w:tcBorders>
            <w:shd w:val="clear" w:color="auto" w:fill="auto"/>
            <w:noWrap/>
            <w:vAlign w:val="center"/>
            <w:hideMark/>
          </w:tcPr>
          <w:p w14:paraId="49D2B1D1" w14:textId="6A36D80E"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Avant</w:t>
            </w:r>
            <w:r>
              <w:rPr>
                <w:rFonts w:ascii="Marianne" w:eastAsia="Times New Roman" w:hAnsi="Marianne" w:cs="Calibri"/>
                <w:color w:val="000000"/>
                <w:sz w:val="20"/>
                <w:szCs w:val="20"/>
                <w:lang w:eastAsia="fr-FR"/>
              </w:rPr>
              <w:t xml:space="preserve"> la modification</w:t>
            </w:r>
          </w:p>
        </w:tc>
        <w:tc>
          <w:tcPr>
            <w:tcW w:w="1503" w:type="dxa"/>
            <w:tcBorders>
              <w:top w:val="nil"/>
              <w:left w:val="nil"/>
              <w:bottom w:val="single" w:sz="12" w:space="0" w:color="auto"/>
              <w:right w:val="single" w:sz="12" w:space="0" w:color="auto"/>
            </w:tcBorders>
            <w:shd w:val="clear" w:color="auto" w:fill="auto"/>
            <w:noWrap/>
            <w:vAlign w:val="center"/>
            <w:hideMark/>
          </w:tcPr>
          <w:p w14:paraId="32FC6D27" w14:textId="2FE15949"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Après</w:t>
            </w:r>
            <w:r>
              <w:rPr>
                <w:rFonts w:ascii="Marianne" w:eastAsia="Times New Roman" w:hAnsi="Marianne" w:cs="Calibri"/>
                <w:color w:val="000000"/>
                <w:sz w:val="20"/>
                <w:szCs w:val="20"/>
                <w:lang w:eastAsia="fr-FR"/>
              </w:rPr>
              <w:t xml:space="preserve"> la modification</w:t>
            </w:r>
          </w:p>
        </w:tc>
        <w:tc>
          <w:tcPr>
            <w:tcW w:w="1227" w:type="dxa"/>
            <w:tcBorders>
              <w:top w:val="nil"/>
              <w:left w:val="nil"/>
              <w:bottom w:val="single" w:sz="12" w:space="0" w:color="auto"/>
              <w:right w:val="single" w:sz="12" w:space="0" w:color="auto"/>
            </w:tcBorders>
            <w:shd w:val="clear" w:color="auto" w:fill="auto"/>
            <w:noWrap/>
            <w:vAlign w:val="center"/>
            <w:hideMark/>
          </w:tcPr>
          <w:p w14:paraId="18F43CEC" w14:textId="77777777" w:rsidR="008F53C4" w:rsidRPr="00F31AAE" w:rsidRDefault="008F53C4" w:rsidP="008F53C4">
            <w:pPr>
              <w:spacing w:after="0" w:line="240" w:lineRule="auto"/>
              <w:rPr>
                <w:rFonts w:ascii="Calibri" w:eastAsia="Times New Roman" w:hAnsi="Calibri" w:cs="Calibri"/>
                <w:color w:val="000000"/>
                <w:lang w:eastAsia="fr-FR"/>
              </w:rPr>
            </w:pPr>
            <w:r w:rsidRPr="00F31AAE">
              <w:rPr>
                <w:rFonts w:ascii="Calibri" w:eastAsia="Times New Roman" w:hAnsi="Calibri" w:cs="Calibri"/>
                <w:color w:val="000000"/>
                <w:lang w:eastAsia="fr-FR"/>
              </w:rPr>
              <w:t> </w:t>
            </w:r>
          </w:p>
        </w:tc>
        <w:tc>
          <w:tcPr>
            <w:tcW w:w="1422" w:type="dxa"/>
            <w:tcBorders>
              <w:top w:val="nil"/>
              <w:left w:val="nil"/>
              <w:bottom w:val="single" w:sz="12" w:space="0" w:color="auto"/>
              <w:right w:val="single" w:sz="12" w:space="0" w:color="auto"/>
            </w:tcBorders>
            <w:shd w:val="clear" w:color="auto" w:fill="auto"/>
            <w:vAlign w:val="center"/>
            <w:hideMark/>
          </w:tcPr>
          <w:p w14:paraId="6CD1F5B6" w14:textId="3E5F8446"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Avant</w:t>
            </w:r>
            <w:r>
              <w:rPr>
                <w:rFonts w:ascii="Marianne" w:eastAsia="Times New Roman" w:hAnsi="Marianne" w:cs="Calibri"/>
                <w:color w:val="000000"/>
                <w:sz w:val="20"/>
                <w:szCs w:val="20"/>
                <w:lang w:eastAsia="fr-FR"/>
              </w:rPr>
              <w:t xml:space="preserve"> la modification</w:t>
            </w:r>
          </w:p>
        </w:tc>
        <w:tc>
          <w:tcPr>
            <w:tcW w:w="1422" w:type="dxa"/>
            <w:tcBorders>
              <w:top w:val="nil"/>
              <w:left w:val="nil"/>
              <w:bottom w:val="single" w:sz="12" w:space="0" w:color="auto"/>
              <w:right w:val="single" w:sz="12" w:space="0" w:color="auto"/>
            </w:tcBorders>
            <w:shd w:val="clear" w:color="auto" w:fill="auto"/>
            <w:vAlign w:val="center"/>
            <w:hideMark/>
          </w:tcPr>
          <w:p w14:paraId="4DCC2800" w14:textId="7FC3A24C"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Après</w:t>
            </w:r>
            <w:r>
              <w:rPr>
                <w:rFonts w:ascii="Marianne" w:eastAsia="Times New Roman" w:hAnsi="Marianne" w:cs="Calibri"/>
                <w:color w:val="000000"/>
                <w:sz w:val="20"/>
                <w:szCs w:val="20"/>
                <w:lang w:eastAsia="fr-FR"/>
              </w:rPr>
              <w:t xml:space="preserve"> la modification</w:t>
            </w:r>
          </w:p>
        </w:tc>
      </w:tr>
      <w:tr w:rsidR="008F53C4" w:rsidRPr="00F31AAE" w14:paraId="7B3432CB" w14:textId="77777777" w:rsidTr="008F53C4">
        <w:trPr>
          <w:trHeight w:val="311"/>
        </w:trPr>
        <w:tc>
          <w:tcPr>
            <w:tcW w:w="2299" w:type="dxa"/>
            <w:tcBorders>
              <w:top w:val="nil"/>
              <w:left w:val="single" w:sz="12" w:space="0" w:color="auto"/>
              <w:bottom w:val="single" w:sz="8" w:space="0" w:color="auto"/>
              <w:right w:val="single" w:sz="8" w:space="0" w:color="auto"/>
            </w:tcBorders>
            <w:shd w:val="clear" w:color="000000" w:fill="00B050"/>
            <w:noWrap/>
            <w:vAlign w:val="center"/>
            <w:hideMark/>
          </w:tcPr>
          <w:p w14:paraId="7D180FD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A</w:t>
            </w:r>
          </w:p>
        </w:tc>
        <w:tc>
          <w:tcPr>
            <w:tcW w:w="1588" w:type="dxa"/>
            <w:tcBorders>
              <w:top w:val="nil"/>
              <w:left w:val="nil"/>
              <w:bottom w:val="single" w:sz="8" w:space="0" w:color="auto"/>
              <w:right w:val="single" w:sz="12" w:space="0" w:color="auto"/>
            </w:tcBorders>
            <w:shd w:val="clear" w:color="auto" w:fill="auto"/>
            <w:noWrap/>
            <w:vAlign w:val="center"/>
            <w:hideMark/>
          </w:tcPr>
          <w:p w14:paraId="1F24255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12 638</w:t>
            </w:r>
          </w:p>
        </w:tc>
        <w:tc>
          <w:tcPr>
            <w:tcW w:w="1503" w:type="dxa"/>
            <w:tcBorders>
              <w:top w:val="nil"/>
              <w:left w:val="nil"/>
              <w:bottom w:val="single" w:sz="8" w:space="0" w:color="auto"/>
              <w:right w:val="single" w:sz="12" w:space="0" w:color="auto"/>
            </w:tcBorders>
            <w:shd w:val="clear" w:color="auto" w:fill="auto"/>
            <w:noWrap/>
            <w:vAlign w:val="center"/>
            <w:hideMark/>
          </w:tcPr>
          <w:p w14:paraId="48B92EAE"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15 780</w:t>
            </w:r>
          </w:p>
        </w:tc>
        <w:tc>
          <w:tcPr>
            <w:tcW w:w="1227" w:type="dxa"/>
            <w:tcBorders>
              <w:top w:val="nil"/>
              <w:left w:val="nil"/>
              <w:bottom w:val="single" w:sz="8" w:space="0" w:color="auto"/>
              <w:right w:val="single" w:sz="12" w:space="0" w:color="auto"/>
            </w:tcBorders>
            <w:shd w:val="clear" w:color="auto" w:fill="auto"/>
            <w:noWrap/>
            <w:vAlign w:val="center"/>
            <w:hideMark/>
          </w:tcPr>
          <w:p w14:paraId="0340AC4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490 150</w:t>
            </w:r>
          </w:p>
        </w:tc>
        <w:tc>
          <w:tcPr>
            <w:tcW w:w="1422" w:type="dxa"/>
            <w:tcBorders>
              <w:top w:val="nil"/>
              <w:left w:val="nil"/>
              <w:bottom w:val="single" w:sz="8" w:space="0" w:color="auto"/>
              <w:right w:val="single" w:sz="12" w:space="0" w:color="auto"/>
            </w:tcBorders>
            <w:shd w:val="clear" w:color="auto" w:fill="auto"/>
            <w:vAlign w:val="center"/>
            <w:hideMark/>
          </w:tcPr>
          <w:p w14:paraId="631D8B7C"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502 787</w:t>
            </w:r>
          </w:p>
        </w:tc>
        <w:tc>
          <w:tcPr>
            <w:tcW w:w="1422" w:type="dxa"/>
            <w:tcBorders>
              <w:top w:val="nil"/>
              <w:left w:val="nil"/>
              <w:bottom w:val="single" w:sz="8" w:space="0" w:color="auto"/>
              <w:right w:val="single" w:sz="12" w:space="0" w:color="auto"/>
            </w:tcBorders>
            <w:shd w:val="clear" w:color="auto" w:fill="auto"/>
            <w:vAlign w:val="center"/>
            <w:hideMark/>
          </w:tcPr>
          <w:p w14:paraId="7F7D0BA2"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505 930</w:t>
            </w:r>
          </w:p>
        </w:tc>
      </w:tr>
      <w:tr w:rsidR="008F53C4" w:rsidRPr="00F31AAE" w14:paraId="464408F0"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92D050"/>
            <w:noWrap/>
            <w:vAlign w:val="center"/>
            <w:hideMark/>
          </w:tcPr>
          <w:p w14:paraId="1C8D9A26"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B</w:t>
            </w:r>
          </w:p>
        </w:tc>
        <w:tc>
          <w:tcPr>
            <w:tcW w:w="1588" w:type="dxa"/>
            <w:tcBorders>
              <w:top w:val="nil"/>
              <w:left w:val="nil"/>
              <w:bottom w:val="single" w:sz="8" w:space="0" w:color="auto"/>
              <w:right w:val="single" w:sz="12" w:space="0" w:color="auto"/>
            </w:tcBorders>
            <w:shd w:val="clear" w:color="auto" w:fill="auto"/>
            <w:noWrap/>
            <w:vAlign w:val="center"/>
            <w:hideMark/>
          </w:tcPr>
          <w:p w14:paraId="7F5F55C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39 605</w:t>
            </w:r>
          </w:p>
        </w:tc>
        <w:tc>
          <w:tcPr>
            <w:tcW w:w="1503" w:type="dxa"/>
            <w:tcBorders>
              <w:top w:val="nil"/>
              <w:left w:val="nil"/>
              <w:bottom w:val="single" w:sz="8" w:space="0" w:color="auto"/>
              <w:right w:val="single" w:sz="12" w:space="0" w:color="auto"/>
            </w:tcBorders>
            <w:shd w:val="clear" w:color="auto" w:fill="auto"/>
            <w:noWrap/>
            <w:vAlign w:val="center"/>
            <w:hideMark/>
          </w:tcPr>
          <w:p w14:paraId="076AB96B"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50 135</w:t>
            </w:r>
          </w:p>
        </w:tc>
        <w:tc>
          <w:tcPr>
            <w:tcW w:w="1227" w:type="dxa"/>
            <w:tcBorders>
              <w:top w:val="nil"/>
              <w:left w:val="nil"/>
              <w:bottom w:val="single" w:sz="8" w:space="0" w:color="auto"/>
              <w:right w:val="single" w:sz="12" w:space="0" w:color="auto"/>
            </w:tcBorders>
            <w:shd w:val="clear" w:color="auto" w:fill="auto"/>
            <w:noWrap/>
            <w:vAlign w:val="center"/>
            <w:hideMark/>
          </w:tcPr>
          <w:p w14:paraId="2457F6BE"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1 141 141</w:t>
            </w:r>
          </w:p>
        </w:tc>
        <w:tc>
          <w:tcPr>
            <w:tcW w:w="1422" w:type="dxa"/>
            <w:tcBorders>
              <w:top w:val="nil"/>
              <w:left w:val="nil"/>
              <w:bottom w:val="single" w:sz="8" w:space="0" w:color="auto"/>
              <w:right w:val="single" w:sz="12" w:space="0" w:color="auto"/>
            </w:tcBorders>
            <w:shd w:val="clear" w:color="auto" w:fill="auto"/>
            <w:vAlign w:val="center"/>
            <w:hideMark/>
          </w:tcPr>
          <w:p w14:paraId="5DA1ABB1"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1 180 747</w:t>
            </w:r>
          </w:p>
        </w:tc>
        <w:tc>
          <w:tcPr>
            <w:tcW w:w="1422" w:type="dxa"/>
            <w:tcBorders>
              <w:top w:val="nil"/>
              <w:left w:val="nil"/>
              <w:bottom w:val="single" w:sz="8" w:space="0" w:color="auto"/>
              <w:right w:val="single" w:sz="12" w:space="0" w:color="auto"/>
            </w:tcBorders>
            <w:shd w:val="clear" w:color="auto" w:fill="auto"/>
            <w:vAlign w:val="center"/>
            <w:hideMark/>
          </w:tcPr>
          <w:p w14:paraId="1E4488E2"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1 191 276</w:t>
            </w:r>
          </w:p>
        </w:tc>
      </w:tr>
      <w:tr w:rsidR="008F53C4" w:rsidRPr="00F31AAE" w14:paraId="3115E2C7"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E2EFDA"/>
            <w:noWrap/>
            <w:vAlign w:val="center"/>
            <w:hideMark/>
          </w:tcPr>
          <w:p w14:paraId="3B17B9E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C</w:t>
            </w:r>
          </w:p>
        </w:tc>
        <w:tc>
          <w:tcPr>
            <w:tcW w:w="1588" w:type="dxa"/>
            <w:tcBorders>
              <w:top w:val="nil"/>
              <w:left w:val="nil"/>
              <w:bottom w:val="single" w:sz="8" w:space="0" w:color="auto"/>
              <w:right w:val="single" w:sz="12" w:space="0" w:color="auto"/>
            </w:tcBorders>
            <w:shd w:val="clear" w:color="auto" w:fill="auto"/>
            <w:noWrap/>
            <w:vAlign w:val="center"/>
            <w:hideMark/>
          </w:tcPr>
          <w:p w14:paraId="184491A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504 927</w:t>
            </w:r>
          </w:p>
        </w:tc>
        <w:tc>
          <w:tcPr>
            <w:tcW w:w="1503" w:type="dxa"/>
            <w:tcBorders>
              <w:top w:val="nil"/>
              <w:left w:val="nil"/>
              <w:bottom w:val="single" w:sz="8" w:space="0" w:color="auto"/>
              <w:right w:val="single" w:sz="12" w:space="0" w:color="auto"/>
            </w:tcBorders>
            <w:shd w:val="clear" w:color="auto" w:fill="auto"/>
            <w:noWrap/>
            <w:vAlign w:val="center"/>
            <w:hideMark/>
          </w:tcPr>
          <w:p w14:paraId="1994F510"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733 301</w:t>
            </w:r>
          </w:p>
        </w:tc>
        <w:tc>
          <w:tcPr>
            <w:tcW w:w="1227" w:type="dxa"/>
            <w:tcBorders>
              <w:top w:val="nil"/>
              <w:left w:val="nil"/>
              <w:bottom w:val="single" w:sz="8" w:space="0" w:color="auto"/>
              <w:right w:val="single" w:sz="12" w:space="0" w:color="auto"/>
            </w:tcBorders>
            <w:shd w:val="clear" w:color="auto" w:fill="auto"/>
            <w:noWrap/>
            <w:vAlign w:val="center"/>
            <w:hideMark/>
          </w:tcPr>
          <w:p w14:paraId="028A132D"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7 204 092</w:t>
            </w:r>
          </w:p>
        </w:tc>
        <w:tc>
          <w:tcPr>
            <w:tcW w:w="1422" w:type="dxa"/>
            <w:tcBorders>
              <w:top w:val="nil"/>
              <w:left w:val="nil"/>
              <w:bottom w:val="single" w:sz="8" w:space="0" w:color="auto"/>
              <w:right w:val="single" w:sz="12" w:space="0" w:color="auto"/>
            </w:tcBorders>
            <w:shd w:val="clear" w:color="auto" w:fill="auto"/>
            <w:vAlign w:val="center"/>
            <w:hideMark/>
          </w:tcPr>
          <w:p w14:paraId="060E46D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7 709 019</w:t>
            </w:r>
          </w:p>
        </w:tc>
        <w:tc>
          <w:tcPr>
            <w:tcW w:w="1422" w:type="dxa"/>
            <w:tcBorders>
              <w:top w:val="nil"/>
              <w:left w:val="nil"/>
              <w:bottom w:val="single" w:sz="8" w:space="0" w:color="auto"/>
              <w:right w:val="single" w:sz="12" w:space="0" w:color="auto"/>
            </w:tcBorders>
            <w:shd w:val="clear" w:color="auto" w:fill="auto"/>
            <w:vAlign w:val="center"/>
            <w:hideMark/>
          </w:tcPr>
          <w:p w14:paraId="6CC0875D"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7 936 781</w:t>
            </w:r>
          </w:p>
        </w:tc>
      </w:tr>
      <w:tr w:rsidR="008F53C4" w:rsidRPr="00F31AAE" w14:paraId="631A1F48"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E699"/>
            <w:noWrap/>
            <w:vAlign w:val="center"/>
            <w:hideMark/>
          </w:tcPr>
          <w:p w14:paraId="2FA9BB7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D</w:t>
            </w:r>
          </w:p>
        </w:tc>
        <w:tc>
          <w:tcPr>
            <w:tcW w:w="1588" w:type="dxa"/>
            <w:tcBorders>
              <w:top w:val="nil"/>
              <w:left w:val="nil"/>
              <w:bottom w:val="single" w:sz="8" w:space="0" w:color="auto"/>
              <w:right w:val="single" w:sz="12" w:space="0" w:color="auto"/>
            </w:tcBorders>
            <w:shd w:val="clear" w:color="auto" w:fill="auto"/>
            <w:noWrap/>
            <w:vAlign w:val="center"/>
            <w:hideMark/>
          </w:tcPr>
          <w:p w14:paraId="1D8AAA6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977 511</w:t>
            </w:r>
          </w:p>
        </w:tc>
        <w:tc>
          <w:tcPr>
            <w:tcW w:w="1503" w:type="dxa"/>
            <w:tcBorders>
              <w:top w:val="nil"/>
              <w:left w:val="nil"/>
              <w:bottom w:val="single" w:sz="8" w:space="0" w:color="auto"/>
              <w:right w:val="single" w:sz="12" w:space="0" w:color="auto"/>
            </w:tcBorders>
            <w:shd w:val="clear" w:color="auto" w:fill="auto"/>
            <w:noWrap/>
            <w:vAlign w:val="center"/>
            <w:hideMark/>
          </w:tcPr>
          <w:p w14:paraId="6BB77B1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979 241</w:t>
            </w:r>
          </w:p>
        </w:tc>
        <w:tc>
          <w:tcPr>
            <w:tcW w:w="1227" w:type="dxa"/>
            <w:tcBorders>
              <w:top w:val="nil"/>
              <w:left w:val="nil"/>
              <w:bottom w:val="single" w:sz="8" w:space="0" w:color="auto"/>
              <w:right w:val="single" w:sz="12" w:space="0" w:color="auto"/>
            </w:tcBorders>
            <w:shd w:val="clear" w:color="auto" w:fill="auto"/>
            <w:noWrap/>
            <w:vAlign w:val="center"/>
            <w:hideMark/>
          </w:tcPr>
          <w:p w14:paraId="78FA2D7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8 794 510</w:t>
            </w:r>
          </w:p>
        </w:tc>
        <w:tc>
          <w:tcPr>
            <w:tcW w:w="1422" w:type="dxa"/>
            <w:tcBorders>
              <w:top w:val="nil"/>
              <w:left w:val="nil"/>
              <w:bottom w:val="single" w:sz="8" w:space="0" w:color="auto"/>
              <w:right w:val="single" w:sz="12" w:space="0" w:color="auto"/>
            </w:tcBorders>
            <w:shd w:val="clear" w:color="auto" w:fill="auto"/>
            <w:vAlign w:val="center"/>
            <w:hideMark/>
          </w:tcPr>
          <w:p w14:paraId="30AF483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9 772 020</w:t>
            </w:r>
          </w:p>
        </w:tc>
        <w:tc>
          <w:tcPr>
            <w:tcW w:w="1422" w:type="dxa"/>
            <w:tcBorders>
              <w:top w:val="nil"/>
              <w:left w:val="nil"/>
              <w:bottom w:val="single" w:sz="8" w:space="0" w:color="auto"/>
              <w:right w:val="single" w:sz="12" w:space="0" w:color="auto"/>
            </w:tcBorders>
            <w:shd w:val="clear" w:color="auto" w:fill="auto"/>
            <w:vAlign w:val="center"/>
            <w:hideMark/>
          </w:tcPr>
          <w:p w14:paraId="4F71FD9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9 772 771</w:t>
            </w:r>
          </w:p>
        </w:tc>
      </w:tr>
      <w:tr w:rsidR="008F53C4" w:rsidRPr="00F31AAE" w14:paraId="47F6A938"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C000"/>
            <w:noWrap/>
            <w:vAlign w:val="center"/>
            <w:hideMark/>
          </w:tcPr>
          <w:p w14:paraId="7C2F0B68"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E</w:t>
            </w:r>
          </w:p>
        </w:tc>
        <w:tc>
          <w:tcPr>
            <w:tcW w:w="1588" w:type="dxa"/>
            <w:tcBorders>
              <w:top w:val="nil"/>
              <w:left w:val="nil"/>
              <w:bottom w:val="single" w:sz="8" w:space="0" w:color="auto"/>
              <w:right w:val="single" w:sz="12" w:space="0" w:color="auto"/>
            </w:tcBorders>
            <w:shd w:val="clear" w:color="auto" w:fill="auto"/>
            <w:noWrap/>
            <w:vAlign w:val="center"/>
            <w:hideMark/>
          </w:tcPr>
          <w:p w14:paraId="33D59775"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874 224</w:t>
            </w:r>
          </w:p>
        </w:tc>
        <w:tc>
          <w:tcPr>
            <w:tcW w:w="1503" w:type="dxa"/>
            <w:tcBorders>
              <w:top w:val="nil"/>
              <w:left w:val="nil"/>
              <w:bottom w:val="single" w:sz="8" w:space="0" w:color="auto"/>
              <w:right w:val="single" w:sz="12" w:space="0" w:color="auto"/>
            </w:tcBorders>
            <w:shd w:val="clear" w:color="auto" w:fill="auto"/>
            <w:noWrap/>
            <w:vAlign w:val="center"/>
            <w:hideMark/>
          </w:tcPr>
          <w:p w14:paraId="242034F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770 367</w:t>
            </w:r>
          </w:p>
        </w:tc>
        <w:tc>
          <w:tcPr>
            <w:tcW w:w="1227" w:type="dxa"/>
            <w:tcBorders>
              <w:top w:val="nil"/>
              <w:left w:val="nil"/>
              <w:bottom w:val="single" w:sz="8" w:space="0" w:color="auto"/>
              <w:right w:val="single" w:sz="12" w:space="0" w:color="auto"/>
            </w:tcBorders>
            <w:shd w:val="clear" w:color="auto" w:fill="auto"/>
            <w:noWrap/>
            <w:vAlign w:val="center"/>
            <w:hideMark/>
          </w:tcPr>
          <w:p w14:paraId="029C3921"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5 460 326</w:t>
            </w:r>
          </w:p>
        </w:tc>
        <w:tc>
          <w:tcPr>
            <w:tcW w:w="1422" w:type="dxa"/>
            <w:tcBorders>
              <w:top w:val="nil"/>
              <w:left w:val="nil"/>
              <w:bottom w:val="single" w:sz="8" w:space="0" w:color="auto"/>
              <w:right w:val="single" w:sz="12" w:space="0" w:color="auto"/>
            </w:tcBorders>
            <w:shd w:val="clear" w:color="auto" w:fill="auto"/>
            <w:vAlign w:val="center"/>
            <w:hideMark/>
          </w:tcPr>
          <w:p w14:paraId="3E485B3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6 334 550</w:t>
            </w:r>
          </w:p>
        </w:tc>
        <w:tc>
          <w:tcPr>
            <w:tcW w:w="1422" w:type="dxa"/>
            <w:tcBorders>
              <w:top w:val="nil"/>
              <w:left w:val="nil"/>
              <w:bottom w:val="single" w:sz="8" w:space="0" w:color="auto"/>
              <w:right w:val="single" w:sz="12" w:space="0" w:color="auto"/>
            </w:tcBorders>
            <w:shd w:val="clear" w:color="auto" w:fill="auto"/>
            <w:vAlign w:val="center"/>
            <w:hideMark/>
          </w:tcPr>
          <w:p w14:paraId="78E0179C"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6 231 065</w:t>
            </w:r>
          </w:p>
        </w:tc>
      </w:tr>
      <w:tr w:rsidR="008F53C4" w:rsidRPr="00F31AAE" w14:paraId="2C847D89" w14:textId="77777777" w:rsidTr="008F53C4">
        <w:trPr>
          <w:trHeight w:val="299"/>
        </w:trPr>
        <w:tc>
          <w:tcPr>
            <w:tcW w:w="2299" w:type="dxa"/>
            <w:tcBorders>
              <w:top w:val="nil"/>
              <w:left w:val="single" w:sz="12" w:space="0" w:color="auto"/>
              <w:bottom w:val="single" w:sz="8" w:space="0" w:color="auto"/>
              <w:right w:val="single" w:sz="8" w:space="0" w:color="auto"/>
            </w:tcBorders>
            <w:shd w:val="clear" w:color="000000" w:fill="FF0000"/>
            <w:noWrap/>
            <w:vAlign w:val="center"/>
            <w:hideMark/>
          </w:tcPr>
          <w:p w14:paraId="5CC69266"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F</w:t>
            </w:r>
          </w:p>
        </w:tc>
        <w:tc>
          <w:tcPr>
            <w:tcW w:w="1588" w:type="dxa"/>
            <w:tcBorders>
              <w:top w:val="nil"/>
              <w:left w:val="nil"/>
              <w:bottom w:val="single" w:sz="8" w:space="0" w:color="auto"/>
              <w:right w:val="single" w:sz="12" w:space="0" w:color="auto"/>
            </w:tcBorders>
            <w:shd w:val="clear" w:color="auto" w:fill="auto"/>
            <w:noWrap/>
            <w:vAlign w:val="center"/>
            <w:hideMark/>
          </w:tcPr>
          <w:p w14:paraId="48EB30B7"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463 095</w:t>
            </w:r>
          </w:p>
        </w:tc>
        <w:tc>
          <w:tcPr>
            <w:tcW w:w="1503" w:type="dxa"/>
            <w:tcBorders>
              <w:top w:val="nil"/>
              <w:left w:val="nil"/>
              <w:bottom w:val="single" w:sz="8" w:space="0" w:color="auto"/>
              <w:right w:val="single" w:sz="12" w:space="0" w:color="auto"/>
            </w:tcBorders>
            <w:shd w:val="clear" w:color="auto" w:fill="auto"/>
            <w:noWrap/>
            <w:vAlign w:val="center"/>
            <w:hideMark/>
          </w:tcPr>
          <w:p w14:paraId="01B8B84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405 953</w:t>
            </w:r>
          </w:p>
        </w:tc>
        <w:tc>
          <w:tcPr>
            <w:tcW w:w="1227" w:type="dxa"/>
            <w:tcBorders>
              <w:top w:val="nil"/>
              <w:left w:val="nil"/>
              <w:bottom w:val="single" w:sz="8" w:space="0" w:color="auto"/>
              <w:right w:val="single" w:sz="12" w:space="0" w:color="auto"/>
            </w:tcBorders>
            <w:shd w:val="clear" w:color="auto" w:fill="auto"/>
            <w:noWrap/>
            <w:vAlign w:val="center"/>
            <w:hideMark/>
          </w:tcPr>
          <w:p w14:paraId="2681F61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2 372 628</w:t>
            </w:r>
          </w:p>
        </w:tc>
        <w:tc>
          <w:tcPr>
            <w:tcW w:w="1422" w:type="dxa"/>
            <w:tcBorders>
              <w:top w:val="nil"/>
              <w:left w:val="nil"/>
              <w:bottom w:val="single" w:sz="8" w:space="0" w:color="auto"/>
              <w:right w:val="single" w:sz="12" w:space="0" w:color="auto"/>
            </w:tcBorders>
            <w:shd w:val="clear" w:color="auto" w:fill="auto"/>
            <w:vAlign w:val="center"/>
            <w:hideMark/>
          </w:tcPr>
          <w:p w14:paraId="62CAFE6A"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2 835 723</w:t>
            </w:r>
          </w:p>
        </w:tc>
        <w:tc>
          <w:tcPr>
            <w:tcW w:w="1422" w:type="dxa"/>
            <w:tcBorders>
              <w:top w:val="nil"/>
              <w:left w:val="nil"/>
              <w:bottom w:val="single" w:sz="8" w:space="0" w:color="auto"/>
              <w:right w:val="single" w:sz="12" w:space="0" w:color="auto"/>
            </w:tcBorders>
            <w:shd w:val="clear" w:color="auto" w:fill="auto"/>
            <w:vAlign w:val="center"/>
            <w:hideMark/>
          </w:tcPr>
          <w:p w14:paraId="208F177B"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2 779 058</w:t>
            </w:r>
          </w:p>
        </w:tc>
      </w:tr>
      <w:tr w:rsidR="008F53C4" w:rsidRPr="00F31AAE" w14:paraId="10D03812" w14:textId="77777777" w:rsidTr="008F53C4">
        <w:trPr>
          <w:trHeight w:val="299"/>
        </w:trPr>
        <w:tc>
          <w:tcPr>
            <w:tcW w:w="2299" w:type="dxa"/>
            <w:tcBorders>
              <w:top w:val="nil"/>
              <w:left w:val="single" w:sz="12" w:space="0" w:color="auto"/>
              <w:bottom w:val="single" w:sz="12" w:space="0" w:color="auto"/>
              <w:right w:val="single" w:sz="8" w:space="0" w:color="auto"/>
            </w:tcBorders>
            <w:shd w:val="clear" w:color="000000" w:fill="C00000"/>
            <w:noWrap/>
            <w:vAlign w:val="center"/>
            <w:hideMark/>
          </w:tcPr>
          <w:p w14:paraId="71D0BEEB" w14:textId="77777777" w:rsidR="008F53C4" w:rsidRPr="00F31AAE" w:rsidRDefault="008F53C4" w:rsidP="008F53C4">
            <w:pPr>
              <w:spacing w:after="0" w:line="240" w:lineRule="auto"/>
              <w:jc w:val="center"/>
              <w:rPr>
                <w:rFonts w:ascii="Marianne" w:eastAsia="Times New Roman" w:hAnsi="Marianne" w:cs="Calibri"/>
                <w:b/>
                <w:bCs/>
                <w:color w:val="FFFFFF"/>
                <w:sz w:val="20"/>
                <w:szCs w:val="20"/>
                <w:lang w:eastAsia="fr-FR"/>
              </w:rPr>
            </w:pPr>
            <w:r w:rsidRPr="00F31AAE">
              <w:rPr>
                <w:rFonts w:ascii="Marianne" w:eastAsia="Times New Roman" w:hAnsi="Marianne" w:cs="Calibri"/>
                <w:b/>
                <w:bCs/>
                <w:color w:val="FFFFFF"/>
                <w:sz w:val="20"/>
                <w:szCs w:val="20"/>
                <w:lang w:eastAsia="fr-FR"/>
              </w:rPr>
              <w:t>G</w:t>
            </w:r>
          </w:p>
        </w:tc>
        <w:tc>
          <w:tcPr>
            <w:tcW w:w="1588" w:type="dxa"/>
            <w:tcBorders>
              <w:top w:val="nil"/>
              <w:left w:val="nil"/>
              <w:bottom w:val="single" w:sz="12" w:space="0" w:color="auto"/>
              <w:right w:val="single" w:sz="12" w:space="0" w:color="auto"/>
            </w:tcBorders>
            <w:shd w:val="clear" w:color="auto" w:fill="auto"/>
            <w:noWrap/>
            <w:vAlign w:val="center"/>
            <w:hideMark/>
          </w:tcPr>
          <w:p w14:paraId="7039288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448 335</w:t>
            </w:r>
          </w:p>
        </w:tc>
        <w:tc>
          <w:tcPr>
            <w:tcW w:w="1503" w:type="dxa"/>
            <w:tcBorders>
              <w:top w:val="nil"/>
              <w:left w:val="nil"/>
              <w:bottom w:val="single" w:sz="12" w:space="0" w:color="auto"/>
              <w:right w:val="single" w:sz="12" w:space="0" w:color="auto"/>
            </w:tcBorders>
            <w:shd w:val="clear" w:color="auto" w:fill="auto"/>
            <w:noWrap/>
            <w:vAlign w:val="center"/>
            <w:hideMark/>
          </w:tcPr>
          <w:p w14:paraId="5BD44690"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Pr>
                <w:rFonts w:ascii="Marianne" w:hAnsi="Marianne" w:cs="Calibri"/>
                <w:color w:val="000000"/>
                <w:sz w:val="20"/>
                <w:szCs w:val="20"/>
              </w:rPr>
              <w:t>365 558</w:t>
            </w:r>
          </w:p>
        </w:tc>
        <w:tc>
          <w:tcPr>
            <w:tcW w:w="1227" w:type="dxa"/>
            <w:tcBorders>
              <w:top w:val="nil"/>
              <w:left w:val="nil"/>
              <w:bottom w:val="single" w:sz="12" w:space="0" w:color="auto"/>
              <w:right w:val="single" w:sz="12" w:space="0" w:color="auto"/>
            </w:tcBorders>
            <w:shd w:val="clear" w:color="auto" w:fill="auto"/>
            <w:noWrap/>
            <w:vAlign w:val="center"/>
            <w:hideMark/>
          </w:tcPr>
          <w:p w14:paraId="79A3F0D4"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1 436 351</w:t>
            </w:r>
          </w:p>
        </w:tc>
        <w:tc>
          <w:tcPr>
            <w:tcW w:w="1422" w:type="dxa"/>
            <w:tcBorders>
              <w:top w:val="nil"/>
              <w:left w:val="nil"/>
              <w:bottom w:val="single" w:sz="12" w:space="0" w:color="auto"/>
              <w:right w:val="single" w:sz="12" w:space="0" w:color="auto"/>
            </w:tcBorders>
            <w:shd w:val="clear" w:color="auto" w:fill="auto"/>
            <w:vAlign w:val="center"/>
            <w:hideMark/>
          </w:tcPr>
          <w:p w14:paraId="215AF226"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1 884 686</w:t>
            </w:r>
          </w:p>
        </w:tc>
        <w:tc>
          <w:tcPr>
            <w:tcW w:w="1422" w:type="dxa"/>
            <w:tcBorders>
              <w:top w:val="nil"/>
              <w:left w:val="nil"/>
              <w:bottom w:val="single" w:sz="12" w:space="0" w:color="auto"/>
              <w:right w:val="single" w:sz="12" w:space="0" w:color="auto"/>
            </w:tcBorders>
            <w:shd w:val="clear" w:color="auto" w:fill="auto"/>
            <w:vAlign w:val="center"/>
            <w:hideMark/>
          </w:tcPr>
          <w:p w14:paraId="39085C78" w14:textId="77777777" w:rsidR="008F53C4" w:rsidRPr="00F31AAE" w:rsidRDefault="008F53C4" w:rsidP="008F53C4">
            <w:pPr>
              <w:spacing w:after="0" w:line="240" w:lineRule="auto"/>
              <w:jc w:val="center"/>
              <w:rPr>
                <w:rFonts w:ascii="Marianne" w:eastAsia="Times New Roman" w:hAnsi="Marianne" w:cs="Calibri"/>
                <w:color w:val="000000"/>
                <w:sz w:val="20"/>
                <w:szCs w:val="20"/>
                <w:lang w:eastAsia="fr-FR"/>
              </w:rPr>
            </w:pPr>
            <w:r w:rsidRPr="00F31AAE">
              <w:rPr>
                <w:rFonts w:ascii="Marianne" w:eastAsia="Times New Roman" w:hAnsi="Marianne" w:cs="Calibri"/>
                <w:color w:val="000000"/>
                <w:sz w:val="20"/>
                <w:szCs w:val="20"/>
                <w:lang w:eastAsia="fr-FR"/>
              </w:rPr>
              <w:t>1 802 652</w:t>
            </w:r>
          </w:p>
        </w:tc>
      </w:tr>
      <w:tr w:rsidR="008F53C4" w:rsidRPr="00F31AAE" w14:paraId="5A5BAD53" w14:textId="77777777" w:rsidTr="008F53C4">
        <w:trPr>
          <w:trHeight w:val="199"/>
        </w:trPr>
        <w:tc>
          <w:tcPr>
            <w:tcW w:w="2299" w:type="dxa"/>
            <w:tcBorders>
              <w:top w:val="nil"/>
              <w:left w:val="single" w:sz="12" w:space="0" w:color="auto"/>
              <w:bottom w:val="single" w:sz="8" w:space="0" w:color="auto"/>
              <w:right w:val="single" w:sz="8" w:space="0" w:color="auto"/>
            </w:tcBorders>
            <w:shd w:val="clear" w:color="auto" w:fill="auto"/>
            <w:vAlign w:val="center"/>
            <w:hideMark/>
          </w:tcPr>
          <w:p w14:paraId="1F03C12A"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Nombre de logement concernés par la modification</w:t>
            </w:r>
          </w:p>
        </w:tc>
        <w:tc>
          <w:tcPr>
            <w:tcW w:w="3092" w:type="dxa"/>
            <w:gridSpan w:val="2"/>
            <w:tcBorders>
              <w:top w:val="nil"/>
              <w:left w:val="nil"/>
              <w:bottom w:val="single" w:sz="8" w:space="0" w:color="auto"/>
              <w:right w:val="single" w:sz="12" w:space="0" w:color="auto"/>
            </w:tcBorders>
            <w:shd w:val="clear" w:color="auto" w:fill="auto"/>
            <w:noWrap/>
            <w:vAlign w:val="center"/>
            <w:hideMark/>
          </w:tcPr>
          <w:p w14:paraId="6E162BB1"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3 320 334</w:t>
            </w:r>
          </w:p>
          <w:p w14:paraId="6397116C"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p>
        </w:tc>
        <w:tc>
          <w:tcPr>
            <w:tcW w:w="1227" w:type="dxa"/>
            <w:tcBorders>
              <w:top w:val="nil"/>
              <w:left w:val="nil"/>
              <w:bottom w:val="single" w:sz="8" w:space="0" w:color="auto"/>
              <w:right w:val="single" w:sz="12" w:space="0" w:color="auto"/>
            </w:tcBorders>
            <w:shd w:val="clear" w:color="auto" w:fill="auto"/>
            <w:noWrap/>
            <w:vAlign w:val="center"/>
            <w:hideMark/>
          </w:tcPr>
          <w:p w14:paraId="35843A4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2CBC415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4D2332AB"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r>
      <w:tr w:rsidR="008F53C4" w:rsidRPr="00F31AAE" w14:paraId="43EDBE94" w14:textId="77777777" w:rsidTr="008F53C4">
        <w:trPr>
          <w:trHeight w:val="304"/>
        </w:trPr>
        <w:tc>
          <w:tcPr>
            <w:tcW w:w="2299" w:type="dxa"/>
            <w:tcBorders>
              <w:top w:val="nil"/>
              <w:left w:val="single" w:sz="12" w:space="0" w:color="auto"/>
              <w:bottom w:val="single" w:sz="8" w:space="0" w:color="auto"/>
              <w:right w:val="single" w:sz="8" w:space="0" w:color="auto"/>
            </w:tcBorders>
            <w:shd w:val="clear" w:color="auto" w:fill="auto"/>
            <w:vAlign w:val="center"/>
            <w:hideMark/>
          </w:tcPr>
          <w:p w14:paraId="0A1535E0"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logement concernés par la modification</w:t>
            </w:r>
          </w:p>
        </w:tc>
        <w:tc>
          <w:tcPr>
            <w:tcW w:w="3092" w:type="dxa"/>
            <w:gridSpan w:val="2"/>
            <w:tcBorders>
              <w:top w:val="nil"/>
              <w:left w:val="nil"/>
              <w:bottom w:val="single" w:sz="8" w:space="0" w:color="auto"/>
              <w:right w:val="single" w:sz="12" w:space="0" w:color="auto"/>
            </w:tcBorders>
            <w:shd w:val="clear" w:color="auto" w:fill="auto"/>
            <w:noWrap/>
            <w:vAlign w:val="center"/>
            <w:hideMark/>
          </w:tcPr>
          <w:p w14:paraId="6AC09B5A"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11%</w:t>
            </w:r>
          </w:p>
        </w:tc>
        <w:tc>
          <w:tcPr>
            <w:tcW w:w="1227" w:type="dxa"/>
            <w:tcBorders>
              <w:top w:val="nil"/>
              <w:left w:val="nil"/>
              <w:bottom w:val="single" w:sz="8" w:space="0" w:color="auto"/>
              <w:right w:val="single" w:sz="12" w:space="0" w:color="auto"/>
            </w:tcBorders>
            <w:shd w:val="clear" w:color="auto" w:fill="auto"/>
            <w:noWrap/>
            <w:vAlign w:val="center"/>
            <w:hideMark/>
          </w:tcPr>
          <w:p w14:paraId="7A14C8BF"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auto" w:fill="auto"/>
            <w:vAlign w:val="center"/>
            <w:hideMark/>
          </w:tcPr>
          <w:p w14:paraId="0A664DA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Calibri" w:eastAsia="Times New Roman" w:hAnsi="Calibri" w:cs="Calibri"/>
                <w:b/>
                <w:bCs/>
                <w:color w:val="000000"/>
                <w:sz w:val="20"/>
                <w:szCs w:val="20"/>
                <w:lang w:eastAsia="fr-FR"/>
              </w:rPr>
              <w:t> </w:t>
            </w:r>
          </w:p>
        </w:tc>
        <w:tc>
          <w:tcPr>
            <w:tcW w:w="1422" w:type="dxa"/>
            <w:tcBorders>
              <w:top w:val="nil"/>
              <w:left w:val="nil"/>
              <w:bottom w:val="single" w:sz="8" w:space="0" w:color="auto"/>
              <w:right w:val="single" w:sz="12" w:space="0" w:color="auto"/>
            </w:tcBorders>
            <w:shd w:val="clear" w:color="auto" w:fill="auto"/>
            <w:vAlign w:val="center"/>
            <w:hideMark/>
          </w:tcPr>
          <w:p w14:paraId="11BE130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Calibri" w:eastAsia="Times New Roman" w:hAnsi="Calibri" w:cs="Calibri"/>
                <w:b/>
                <w:bCs/>
                <w:color w:val="000000"/>
                <w:sz w:val="20"/>
                <w:szCs w:val="20"/>
                <w:lang w:eastAsia="fr-FR"/>
              </w:rPr>
              <w:t> </w:t>
            </w:r>
          </w:p>
        </w:tc>
      </w:tr>
      <w:tr w:rsidR="008F53C4" w:rsidRPr="00F31AAE" w14:paraId="3C4C1C49" w14:textId="77777777" w:rsidTr="008F53C4">
        <w:trPr>
          <w:trHeight w:val="47"/>
        </w:trPr>
        <w:tc>
          <w:tcPr>
            <w:tcW w:w="2299" w:type="dxa"/>
            <w:tcBorders>
              <w:top w:val="nil"/>
              <w:left w:val="single" w:sz="12" w:space="0" w:color="auto"/>
              <w:bottom w:val="single" w:sz="8" w:space="0" w:color="auto"/>
              <w:right w:val="single" w:sz="8" w:space="0" w:color="auto"/>
            </w:tcBorders>
            <w:shd w:val="clear" w:color="auto" w:fill="auto"/>
            <w:noWrap/>
            <w:vAlign w:val="center"/>
            <w:hideMark/>
          </w:tcPr>
          <w:p w14:paraId="12B4F9FA" w14:textId="77777777" w:rsidR="008F53C4" w:rsidRPr="00F31AAE" w:rsidRDefault="008F53C4" w:rsidP="008F53C4">
            <w:pPr>
              <w:spacing w:after="0" w:line="240" w:lineRule="auto"/>
              <w:jc w:val="both"/>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Nombre de passoires</w:t>
            </w:r>
          </w:p>
        </w:tc>
        <w:tc>
          <w:tcPr>
            <w:tcW w:w="1588" w:type="dxa"/>
            <w:tcBorders>
              <w:top w:val="nil"/>
              <w:left w:val="nil"/>
              <w:bottom w:val="single" w:sz="8" w:space="0" w:color="auto"/>
              <w:right w:val="single" w:sz="12" w:space="0" w:color="auto"/>
            </w:tcBorders>
            <w:shd w:val="clear" w:color="auto" w:fill="auto"/>
            <w:noWrap/>
            <w:vAlign w:val="center"/>
            <w:hideMark/>
          </w:tcPr>
          <w:p w14:paraId="43E6A6D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911 430</w:t>
            </w:r>
          </w:p>
        </w:tc>
        <w:tc>
          <w:tcPr>
            <w:tcW w:w="1503" w:type="dxa"/>
            <w:tcBorders>
              <w:top w:val="nil"/>
              <w:left w:val="nil"/>
              <w:bottom w:val="single" w:sz="8" w:space="0" w:color="auto"/>
              <w:right w:val="single" w:sz="12" w:space="0" w:color="auto"/>
            </w:tcBorders>
            <w:shd w:val="clear" w:color="auto" w:fill="auto"/>
            <w:noWrap/>
            <w:vAlign w:val="center"/>
            <w:hideMark/>
          </w:tcPr>
          <w:p w14:paraId="029C4B3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771 511</w:t>
            </w:r>
          </w:p>
        </w:tc>
        <w:tc>
          <w:tcPr>
            <w:tcW w:w="1227" w:type="dxa"/>
            <w:tcBorders>
              <w:top w:val="nil"/>
              <w:left w:val="nil"/>
              <w:bottom w:val="single" w:sz="8" w:space="0" w:color="auto"/>
              <w:right w:val="single" w:sz="12" w:space="0" w:color="auto"/>
            </w:tcBorders>
            <w:shd w:val="clear" w:color="auto" w:fill="auto"/>
            <w:vAlign w:val="center"/>
            <w:hideMark/>
          </w:tcPr>
          <w:p w14:paraId="40FE8281"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3 808 979</w:t>
            </w:r>
          </w:p>
        </w:tc>
        <w:tc>
          <w:tcPr>
            <w:tcW w:w="1422" w:type="dxa"/>
            <w:tcBorders>
              <w:top w:val="nil"/>
              <w:left w:val="nil"/>
              <w:bottom w:val="single" w:sz="8" w:space="0" w:color="auto"/>
              <w:right w:val="single" w:sz="12" w:space="0" w:color="auto"/>
            </w:tcBorders>
            <w:shd w:val="clear" w:color="auto" w:fill="auto"/>
            <w:vAlign w:val="center"/>
            <w:hideMark/>
          </w:tcPr>
          <w:p w14:paraId="7EE15C90"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4 720 409</w:t>
            </w:r>
          </w:p>
        </w:tc>
        <w:tc>
          <w:tcPr>
            <w:tcW w:w="1422" w:type="dxa"/>
            <w:tcBorders>
              <w:top w:val="nil"/>
              <w:left w:val="nil"/>
              <w:bottom w:val="single" w:sz="8" w:space="0" w:color="auto"/>
              <w:right w:val="single" w:sz="12" w:space="0" w:color="auto"/>
            </w:tcBorders>
            <w:shd w:val="clear" w:color="auto" w:fill="auto"/>
            <w:vAlign w:val="center"/>
            <w:hideMark/>
          </w:tcPr>
          <w:p w14:paraId="26A8FF05"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4 581 709</w:t>
            </w:r>
          </w:p>
        </w:tc>
      </w:tr>
      <w:tr w:rsidR="008F53C4" w:rsidRPr="00F31AAE" w14:paraId="64753BDE" w14:textId="77777777" w:rsidTr="008F53C4">
        <w:trPr>
          <w:trHeight w:val="539"/>
        </w:trPr>
        <w:tc>
          <w:tcPr>
            <w:tcW w:w="2299" w:type="dxa"/>
            <w:tcBorders>
              <w:top w:val="nil"/>
              <w:left w:val="single" w:sz="12" w:space="0" w:color="auto"/>
              <w:bottom w:val="single" w:sz="12" w:space="0" w:color="auto"/>
              <w:right w:val="single" w:sz="8" w:space="0" w:color="auto"/>
            </w:tcBorders>
            <w:shd w:val="clear" w:color="auto" w:fill="auto"/>
            <w:noWrap/>
            <w:vAlign w:val="center"/>
            <w:hideMark/>
          </w:tcPr>
          <w:p w14:paraId="4EE60292" w14:textId="77777777" w:rsidR="008F53C4" w:rsidRPr="00F31AAE" w:rsidRDefault="008F53C4" w:rsidP="008F53C4">
            <w:pPr>
              <w:spacing w:after="0" w:line="240" w:lineRule="auto"/>
              <w:jc w:val="both"/>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passoires</w:t>
            </w:r>
          </w:p>
        </w:tc>
        <w:tc>
          <w:tcPr>
            <w:tcW w:w="1588" w:type="dxa"/>
            <w:tcBorders>
              <w:top w:val="nil"/>
              <w:left w:val="nil"/>
              <w:bottom w:val="single" w:sz="12" w:space="0" w:color="auto"/>
              <w:right w:val="single" w:sz="12" w:space="0" w:color="auto"/>
            </w:tcBorders>
            <w:shd w:val="clear" w:color="auto" w:fill="auto"/>
            <w:noWrap/>
            <w:vAlign w:val="center"/>
            <w:hideMark/>
          </w:tcPr>
          <w:p w14:paraId="68FD8403"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27,4%</w:t>
            </w:r>
          </w:p>
        </w:tc>
        <w:tc>
          <w:tcPr>
            <w:tcW w:w="1503" w:type="dxa"/>
            <w:tcBorders>
              <w:top w:val="nil"/>
              <w:left w:val="nil"/>
              <w:bottom w:val="single" w:sz="12" w:space="0" w:color="auto"/>
              <w:right w:val="single" w:sz="12" w:space="0" w:color="auto"/>
            </w:tcBorders>
            <w:shd w:val="clear" w:color="auto" w:fill="auto"/>
            <w:noWrap/>
            <w:vAlign w:val="center"/>
            <w:hideMark/>
          </w:tcPr>
          <w:p w14:paraId="60BE5349"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23,2%</w:t>
            </w:r>
          </w:p>
        </w:tc>
        <w:tc>
          <w:tcPr>
            <w:tcW w:w="1227" w:type="dxa"/>
            <w:tcBorders>
              <w:top w:val="nil"/>
              <w:left w:val="nil"/>
              <w:bottom w:val="single" w:sz="12" w:space="0" w:color="auto"/>
              <w:right w:val="single" w:sz="12" w:space="0" w:color="auto"/>
            </w:tcBorders>
            <w:shd w:val="clear" w:color="auto" w:fill="auto"/>
            <w:noWrap/>
            <w:vAlign w:val="center"/>
            <w:hideMark/>
          </w:tcPr>
          <w:p w14:paraId="008DFC7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14,2%</w:t>
            </w:r>
          </w:p>
        </w:tc>
        <w:tc>
          <w:tcPr>
            <w:tcW w:w="1422" w:type="dxa"/>
            <w:tcBorders>
              <w:top w:val="nil"/>
              <w:left w:val="nil"/>
              <w:bottom w:val="single" w:sz="12" w:space="0" w:color="auto"/>
              <w:right w:val="single" w:sz="12" w:space="0" w:color="auto"/>
            </w:tcBorders>
            <w:shd w:val="clear" w:color="auto" w:fill="auto"/>
            <w:noWrap/>
            <w:vAlign w:val="center"/>
            <w:hideMark/>
          </w:tcPr>
          <w:p w14:paraId="621A94F4"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15,6%</w:t>
            </w:r>
          </w:p>
        </w:tc>
        <w:tc>
          <w:tcPr>
            <w:tcW w:w="1422" w:type="dxa"/>
            <w:tcBorders>
              <w:top w:val="nil"/>
              <w:left w:val="nil"/>
              <w:bottom w:val="single" w:sz="12" w:space="0" w:color="auto"/>
              <w:right w:val="single" w:sz="12" w:space="0" w:color="auto"/>
            </w:tcBorders>
            <w:shd w:val="clear" w:color="auto" w:fill="auto"/>
            <w:noWrap/>
            <w:vAlign w:val="center"/>
            <w:hideMark/>
          </w:tcPr>
          <w:p w14:paraId="30D131EE"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15,2%</w:t>
            </w:r>
          </w:p>
        </w:tc>
      </w:tr>
      <w:tr w:rsidR="008F53C4" w:rsidRPr="00F31AAE" w14:paraId="64423AAF" w14:textId="77777777" w:rsidTr="008F53C4">
        <w:trPr>
          <w:trHeight w:val="815"/>
        </w:trPr>
        <w:tc>
          <w:tcPr>
            <w:tcW w:w="2299" w:type="dxa"/>
            <w:tcBorders>
              <w:top w:val="nil"/>
              <w:left w:val="single" w:sz="12" w:space="0" w:color="auto"/>
              <w:bottom w:val="single" w:sz="8" w:space="0" w:color="auto"/>
              <w:right w:val="single" w:sz="12" w:space="0" w:color="auto"/>
            </w:tcBorders>
            <w:shd w:val="clear" w:color="000000" w:fill="D0CECE"/>
            <w:noWrap/>
            <w:vAlign w:val="center"/>
            <w:hideMark/>
          </w:tcPr>
          <w:p w14:paraId="0086ADA3" w14:textId="77777777" w:rsidR="008F53C4" w:rsidRPr="00F31AAE" w:rsidRDefault="008F53C4" w:rsidP="008F53C4">
            <w:pPr>
              <w:spacing w:after="0" w:line="240" w:lineRule="auto"/>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Taux de passoires &lt;15m²</w:t>
            </w:r>
          </w:p>
        </w:tc>
        <w:tc>
          <w:tcPr>
            <w:tcW w:w="1588" w:type="dxa"/>
            <w:tcBorders>
              <w:top w:val="nil"/>
              <w:left w:val="nil"/>
              <w:bottom w:val="single" w:sz="8" w:space="0" w:color="auto"/>
              <w:right w:val="single" w:sz="8" w:space="0" w:color="auto"/>
            </w:tcBorders>
            <w:shd w:val="clear" w:color="000000" w:fill="D0CECE"/>
            <w:noWrap/>
            <w:vAlign w:val="center"/>
            <w:hideMark/>
          </w:tcPr>
          <w:p w14:paraId="49BFEE9A"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68,4%</w:t>
            </w:r>
          </w:p>
        </w:tc>
        <w:tc>
          <w:tcPr>
            <w:tcW w:w="1503" w:type="dxa"/>
            <w:tcBorders>
              <w:top w:val="nil"/>
              <w:left w:val="nil"/>
              <w:bottom w:val="single" w:sz="8" w:space="0" w:color="auto"/>
              <w:right w:val="single" w:sz="12" w:space="0" w:color="auto"/>
            </w:tcBorders>
            <w:shd w:val="clear" w:color="000000" w:fill="D0CECE"/>
            <w:noWrap/>
            <w:vAlign w:val="center"/>
            <w:hideMark/>
          </w:tcPr>
          <w:p w14:paraId="6331601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Pr>
                <w:rFonts w:ascii="Marianne" w:hAnsi="Marianne" w:cs="Calibri"/>
                <w:b/>
                <w:bCs/>
                <w:color w:val="000000"/>
                <w:sz w:val="20"/>
                <w:szCs w:val="20"/>
              </w:rPr>
              <w:t>38,3%</w:t>
            </w:r>
          </w:p>
        </w:tc>
        <w:tc>
          <w:tcPr>
            <w:tcW w:w="1227" w:type="dxa"/>
            <w:tcBorders>
              <w:top w:val="nil"/>
              <w:left w:val="nil"/>
              <w:bottom w:val="single" w:sz="8" w:space="0" w:color="auto"/>
              <w:right w:val="single" w:sz="8" w:space="0" w:color="auto"/>
            </w:tcBorders>
            <w:shd w:val="clear" w:color="000000" w:fill="D0CECE"/>
            <w:noWrap/>
            <w:vAlign w:val="center"/>
            <w:hideMark/>
          </w:tcPr>
          <w:p w14:paraId="7841197D"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000000" w:fill="D0CECE"/>
            <w:vAlign w:val="center"/>
            <w:hideMark/>
          </w:tcPr>
          <w:p w14:paraId="747BD242"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c>
          <w:tcPr>
            <w:tcW w:w="1422" w:type="dxa"/>
            <w:tcBorders>
              <w:top w:val="nil"/>
              <w:left w:val="nil"/>
              <w:bottom w:val="single" w:sz="8" w:space="0" w:color="auto"/>
              <w:right w:val="single" w:sz="12" w:space="0" w:color="auto"/>
            </w:tcBorders>
            <w:shd w:val="clear" w:color="000000" w:fill="D0CECE"/>
            <w:vAlign w:val="center"/>
            <w:hideMark/>
          </w:tcPr>
          <w:p w14:paraId="4D3E25F0" w14:textId="77777777" w:rsidR="008F53C4" w:rsidRPr="00F31AAE" w:rsidRDefault="008F53C4" w:rsidP="008F53C4">
            <w:pPr>
              <w:spacing w:after="0" w:line="240" w:lineRule="auto"/>
              <w:jc w:val="center"/>
              <w:rPr>
                <w:rFonts w:ascii="Marianne" w:eastAsia="Times New Roman" w:hAnsi="Marianne" w:cs="Calibri"/>
                <w:b/>
                <w:bCs/>
                <w:color w:val="000000"/>
                <w:sz w:val="20"/>
                <w:szCs w:val="20"/>
                <w:lang w:eastAsia="fr-FR"/>
              </w:rPr>
            </w:pPr>
            <w:r w:rsidRPr="00F31AAE">
              <w:rPr>
                <w:rFonts w:ascii="Marianne" w:eastAsia="Times New Roman" w:hAnsi="Marianne" w:cs="Calibri"/>
                <w:b/>
                <w:bCs/>
                <w:color w:val="000000"/>
                <w:sz w:val="20"/>
                <w:szCs w:val="20"/>
                <w:lang w:eastAsia="fr-FR"/>
              </w:rPr>
              <w:t>-</w:t>
            </w:r>
          </w:p>
        </w:tc>
      </w:tr>
    </w:tbl>
    <w:p w14:paraId="686AD729" w14:textId="3F36FB9E" w:rsidR="007C2629" w:rsidRDefault="007C2629" w:rsidP="007C2629">
      <w:pPr>
        <w:spacing w:after="120"/>
        <w:jc w:val="both"/>
        <w:rPr>
          <w:rFonts w:ascii="Marianne" w:hAnsi="Marianne"/>
          <w:bCs/>
          <w:sz w:val="20"/>
          <w:szCs w:val="20"/>
        </w:rPr>
      </w:pPr>
    </w:p>
    <w:p w14:paraId="3B5FB7E3" w14:textId="079255F4" w:rsidR="00433782" w:rsidRPr="00A34BE2" w:rsidRDefault="00433782" w:rsidP="007C2629">
      <w:pPr>
        <w:spacing w:after="120"/>
        <w:jc w:val="both"/>
        <w:rPr>
          <w:rFonts w:ascii="Marianne" w:hAnsi="Marianne"/>
          <w:bCs/>
          <w:sz w:val="20"/>
          <w:szCs w:val="20"/>
        </w:rPr>
      </w:pPr>
      <w:r w:rsidRPr="00433782">
        <w:rPr>
          <w:rFonts w:ascii="Marianne" w:hAnsi="Marianne"/>
          <w:bCs/>
          <w:i/>
          <w:iCs/>
          <w:sz w:val="20"/>
          <w:szCs w:val="20"/>
        </w:rPr>
        <w:t>Source</w:t>
      </w:r>
      <w:r>
        <w:rPr>
          <w:rFonts w:ascii="Marianne" w:hAnsi="Marianne"/>
          <w:bCs/>
          <w:sz w:val="20"/>
          <w:szCs w:val="20"/>
        </w:rPr>
        <w:t> : CGDD, estimation statistique</w:t>
      </w:r>
    </w:p>
    <w:p w14:paraId="56AF709F" w14:textId="1DA61151" w:rsidR="00D65EF5" w:rsidRPr="00A34BE2" w:rsidRDefault="00D65EF5" w:rsidP="00E50DDC">
      <w:pPr>
        <w:rPr>
          <w:rFonts w:ascii="Marianne" w:hAnsi="Marianne"/>
          <w:sz w:val="20"/>
          <w:szCs w:val="20"/>
        </w:rPr>
      </w:pPr>
    </w:p>
    <w:sectPr w:rsidR="00D65EF5" w:rsidRPr="00A34BE2" w:rsidSect="00D305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4FFC" w14:textId="77777777" w:rsidR="009F7B0C" w:rsidRDefault="009F7B0C" w:rsidP="00936D25">
      <w:pPr>
        <w:spacing w:after="0" w:line="240" w:lineRule="auto"/>
      </w:pPr>
      <w:r>
        <w:separator/>
      </w:r>
    </w:p>
  </w:endnote>
  <w:endnote w:type="continuationSeparator" w:id="0">
    <w:p w14:paraId="2CA00DD0" w14:textId="77777777" w:rsidR="009F7B0C" w:rsidRDefault="009F7B0C" w:rsidP="009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2563"/>
      <w:docPartObj>
        <w:docPartGallery w:val="Page Numbers (Bottom of Page)"/>
        <w:docPartUnique/>
      </w:docPartObj>
    </w:sdtPr>
    <w:sdtEndPr/>
    <w:sdtContent>
      <w:p w14:paraId="338F27B5" w14:textId="0EA40EAB" w:rsidR="00161B34" w:rsidRDefault="00161B34">
        <w:pPr>
          <w:pStyle w:val="Pieddepage"/>
          <w:jc w:val="right"/>
        </w:pPr>
        <w:r>
          <w:fldChar w:fldCharType="begin"/>
        </w:r>
        <w:r>
          <w:instrText>PAGE   \* MERGEFORMAT</w:instrText>
        </w:r>
        <w:r>
          <w:fldChar w:fldCharType="separate"/>
        </w:r>
        <w:r w:rsidR="006C3F62">
          <w:rPr>
            <w:noProof/>
          </w:rPr>
          <w:t>4</w:t>
        </w:r>
        <w:r>
          <w:fldChar w:fldCharType="end"/>
        </w:r>
      </w:p>
    </w:sdtContent>
  </w:sdt>
  <w:p w14:paraId="15F31C34" w14:textId="77777777" w:rsidR="00161B34" w:rsidRDefault="00161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2430" w14:textId="77777777" w:rsidR="009F7B0C" w:rsidRDefault="009F7B0C" w:rsidP="00936D25">
      <w:pPr>
        <w:spacing w:after="0" w:line="240" w:lineRule="auto"/>
      </w:pPr>
      <w:r>
        <w:separator/>
      </w:r>
    </w:p>
  </w:footnote>
  <w:footnote w:type="continuationSeparator" w:id="0">
    <w:p w14:paraId="5819B877" w14:textId="77777777" w:rsidR="009F7B0C" w:rsidRDefault="009F7B0C" w:rsidP="00936D25">
      <w:pPr>
        <w:spacing w:after="0" w:line="240" w:lineRule="auto"/>
      </w:pPr>
      <w:r>
        <w:continuationSeparator/>
      </w:r>
    </w:p>
  </w:footnote>
  <w:footnote w:id="1">
    <w:p w14:paraId="0605823E" w14:textId="77777777" w:rsidR="00E75571" w:rsidRDefault="00E75571" w:rsidP="00E75571">
      <w:pPr>
        <w:pStyle w:val="Notedebasdepage"/>
      </w:pPr>
      <w:r>
        <w:rPr>
          <w:rStyle w:val="Appelnotedebasdep"/>
        </w:rPr>
        <w:footnoteRef/>
      </w:r>
      <w:r>
        <w:t xml:space="preserve"> Article 159 de la Loi Climat et Résilience</w:t>
      </w:r>
    </w:p>
  </w:footnote>
  <w:footnote w:id="2">
    <w:p w14:paraId="709D0B6E" w14:textId="77777777" w:rsidR="00E75571" w:rsidRDefault="00E75571" w:rsidP="00E75571">
      <w:pPr>
        <w:pStyle w:val="Notedebasdepage"/>
      </w:pPr>
      <w:r>
        <w:rPr>
          <w:rStyle w:val="Appelnotedebasdep"/>
        </w:rPr>
        <w:footnoteRef/>
      </w:r>
      <w:r>
        <w:t xml:space="preserve"> Article 17 de la Loi Energie et Climat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D51D5"/>
    <w:multiLevelType w:val="hybridMultilevel"/>
    <w:tmpl w:val="A34E52DA"/>
    <w:lvl w:ilvl="0" w:tplc="008A22C8">
      <w:start w:val="1"/>
      <w:numFmt w:val="decimal"/>
      <w:lvlText w:val="%1."/>
      <w:lvlJc w:val="left"/>
      <w:pPr>
        <w:ind w:left="720" w:hanging="360"/>
      </w:pPr>
      <w:rPr>
        <w:rFonts w:asciiTheme="majorHAnsi" w:hAnsiTheme="majorHAnsi" w:cstheme="majorHAns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3C25A0"/>
    <w:multiLevelType w:val="hybridMultilevel"/>
    <w:tmpl w:val="43463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AD7A8C"/>
    <w:multiLevelType w:val="hybridMultilevel"/>
    <w:tmpl w:val="291EC784"/>
    <w:lvl w:ilvl="0" w:tplc="AED2468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A4E74A4"/>
    <w:multiLevelType w:val="hybridMultilevel"/>
    <w:tmpl w:val="EF66BBAC"/>
    <w:lvl w:ilvl="0" w:tplc="093699A6">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7A7717"/>
    <w:multiLevelType w:val="hybridMultilevel"/>
    <w:tmpl w:val="2398F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25"/>
    <w:rsid w:val="000516EA"/>
    <w:rsid w:val="000546FB"/>
    <w:rsid w:val="000B4EE8"/>
    <w:rsid w:val="000D2FB6"/>
    <w:rsid w:val="00117161"/>
    <w:rsid w:val="00161B34"/>
    <w:rsid w:val="00171E7E"/>
    <w:rsid w:val="00184456"/>
    <w:rsid w:val="001D654C"/>
    <w:rsid w:val="002B66C0"/>
    <w:rsid w:val="002B713E"/>
    <w:rsid w:val="002D1511"/>
    <w:rsid w:val="00352606"/>
    <w:rsid w:val="003A312B"/>
    <w:rsid w:val="003B25BD"/>
    <w:rsid w:val="003D22DD"/>
    <w:rsid w:val="003E5D4A"/>
    <w:rsid w:val="00433782"/>
    <w:rsid w:val="004A0F21"/>
    <w:rsid w:val="00517C61"/>
    <w:rsid w:val="00537514"/>
    <w:rsid w:val="00541EF6"/>
    <w:rsid w:val="005E1F25"/>
    <w:rsid w:val="005E5ECC"/>
    <w:rsid w:val="0064088F"/>
    <w:rsid w:val="00653968"/>
    <w:rsid w:val="006C3F62"/>
    <w:rsid w:val="006E5B29"/>
    <w:rsid w:val="00734847"/>
    <w:rsid w:val="00747BE1"/>
    <w:rsid w:val="00775A1A"/>
    <w:rsid w:val="007C2629"/>
    <w:rsid w:val="008259F1"/>
    <w:rsid w:val="0082648F"/>
    <w:rsid w:val="0085580C"/>
    <w:rsid w:val="008F53C4"/>
    <w:rsid w:val="00936D25"/>
    <w:rsid w:val="009F7B0C"/>
    <w:rsid w:val="00A34BE2"/>
    <w:rsid w:val="00A90E25"/>
    <w:rsid w:val="00AA03B9"/>
    <w:rsid w:val="00CC40BF"/>
    <w:rsid w:val="00D3055F"/>
    <w:rsid w:val="00D65EF5"/>
    <w:rsid w:val="00E50DDC"/>
    <w:rsid w:val="00E62A16"/>
    <w:rsid w:val="00E75571"/>
    <w:rsid w:val="00F31AAE"/>
    <w:rsid w:val="00F66189"/>
    <w:rsid w:val="00F85E15"/>
    <w:rsid w:val="00F94205"/>
    <w:rsid w:val="00FE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D9E8"/>
  <w15:chartTrackingRefBased/>
  <w15:docId w15:val="{3565E9D0-9B89-4C6C-8C31-CDF0EC32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D25"/>
    <w:pPr>
      <w:ind w:left="720"/>
      <w:contextualSpacing/>
    </w:pPr>
  </w:style>
  <w:style w:type="character" w:styleId="Marquedecommentaire">
    <w:name w:val="annotation reference"/>
    <w:basedOn w:val="Policepardfaut"/>
    <w:uiPriority w:val="99"/>
    <w:semiHidden/>
    <w:unhideWhenUsed/>
    <w:rsid w:val="00936D25"/>
    <w:rPr>
      <w:sz w:val="16"/>
      <w:szCs w:val="16"/>
    </w:rPr>
  </w:style>
  <w:style w:type="paragraph" w:styleId="Commentaire">
    <w:name w:val="annotation text"/>
    <w:basedOn w:val="Normal"/>
    <w:link w:val="CommentaireCar"/>
    <w:uiPriority w:val="99"/>
    <w:unhideWhenUsed/>
    <w:rsid w:val="00936D25"/>
    <w:pPr>
      <w:spacing w:line="240" w:lineRule="auto"/>
    </w:pPr>
    <w:rPr>
      <w:sz w:val="20"/>
      <w:szCs w:val="20"/>
    </w:rPr>
  </w:style>
  <w:style w:type="character" w:customStyle="1" w:styleId="CommentaireCar">
    <w:name w:val="Commentaire Car"/>
    <w:basedOn w:val="Policepardfaut"/>
    <w:link w:val="Commentaire"/>
    <w:uiPriority w:val="99"/>
    <w:rsid w:val="00936D25"/>
    <w:rPr>
      <w:sz w:val="20"/>
      <w:szCs w:val="20"/>
    </w:rPr>
  </w:style>
  <w:style w:type="paragraph" w:styleId="Notedebasdepage">
    <w:name w:val="footnote text"/>
    <w:basedOn w:val="Normal"/>
    <w:link w:val="NotedebasdepageCar"/>
    <w:uiPriority w:val="99"/>
    <w:unhideWhenUsed/>
    <w:rsid w:val="00936D25"/>
    <w:pPr>
      <w:spacing w:after="0" w:line="240" w:lineRule="auto"/>
    </w:pPr>
    <w:rPr>
      <w:sz w:val="20"/>
      <w:szCs w:val="20"/>
    </w:rPr>
  </w:style>
  <w:style w:type="character" w:customStyle="1" w:styleId="NotedebasdepageCar">
    <w:name w:val="Note de bas de page Car"/>
    <w:basedOn w:val="Policepardfaut"/>
    <w:link w:val="Notedebasdepage"/>
    <w:uiPriority w:val="99"/>
    <w:rsid w:val="00936D25"/>
    <w:rPr>
      <w:sz w:val="20"/>
      <w:szCs w:val="20"/>
    </w:rPr>
  </w:style>
  <w:style w:type="character" w:styleId="Appelnotedebasdep">
    <w:name w:val="footnote reference"/>
    <w:basedOn w:val="Policepardfaut"/>
    <w:uiPriority w:val="99"/>
    <w:semiHidden/>
    <w:unhideWhenUsed/>
    <w:rsid w:val="00936D25"/>
    <w:rPr>
      <w:vertAlign w:val="superscript"/>
    </w:rPr>
  </w:style>
  <w:style w:type="paragraph" w:styleId="Textedebulles">
    <w:name w:val="Balloon Text"/>
    <w:basedOn w:val="Normal"/>
    <w:link w:val="TextedebullesCar"/>
    <w:uiPriority w:val="99"/>
    <w:semiHidden/>
    <w:unhideWhenUsed/>
    <w:rsid w:val="00936D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6D2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936D25"/>
    <w:rPr>
      <w:b/>
      <w:bCs/>
    </w:rPr>
  </w:style>
  <w:style w:type="character" w:customStyle="1" w:styleId="ObjetducommentaireCar">
    <w:name w:val="Objet du commentaire Car"/>
    <w:basedOn w:val="CommentaireCar"/>
    <w:link w:val="Objetducommentaire"/>
    <w:uiPriority w:val="99"/>
    <w:semiHidden/>
    <w:rsid w:val="00936D25"/>
    <w:rPr>
      <w:b/>
      <w:bCs/>
      <w:sz w:val="20"/>
      <w:szCs w:val="20"/>
    </w:rPr>
  </w:style>
  <w:style w:type="paragraph" w:styleId="En-tte">
    <w:name w:val="header"/>
    <w:basedOn w:val="Normal"/>
    <w:link w:val="En-tteCar"/>
    <w:uiPriority w:val="99"/>
    <w:unhideWhenUsed/>
    <w:rsid w:val="00161B34"/>
    <w:pPr>
      <w:tabs>
        <w:tab w:val="center" w:pos="4536"/>
        <w:tab w:val="right" w:pos="9072"/>
      </w:tabs>
      <w:spacing w:after="0" w:line="240" w:lineRule="auto"/>
    </w:pPr>
  </w:style>
  <w:style w:type="character" w:customStyle="1" w:styleId="En-tteCar">
    <w:name w:val="En-tête Car"/>
    <w:basedOn w:val="Policepardfaut"/>
    <w:link w:val="En-tte"/>
    <w:uiPriority w:val="99"/>
    <w:rsid w:val="00161B34"/>
  </w:style>
  <w:style w:type="paragraph" w:styleId="Pieddepage">
    <w:name w:val="footer"/>
    <w:basedOn w:val="Normal"/>
    <w:link w:val="PieddepageCar"/>
    <w:uiPriority w:val="99"/>
    <w:unhideWhenUsed/>
    <w:rsid w:val="00161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22528">
      <w:bodyDiv w:val="1"/>
      <w:marLeft w:val="0"/>
      <w:marRight w:val="0"/>
      <w:marTop w:val="0"/>
      <w:marBottom w:val="0"/>
      <w:divBdr>
        <w:top w:val="none" w:sz="0" w:space="0" w:color="auto"/>
        <w:left w:val="none" w:sz="0" w:space="0" w:color="auto"/>
        <w:bottom w:val="none" w:sz="0" w:space="0" w:color="auto"/>
        <w:right w:val="none" w:sz="0" w:space="0" w:color="auto"/>
      </w:divBdr>
    </w:div>
    <w:div w:id="17837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C8CC-4296-4F93-AA6A-6AB3A02D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5623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DESLOT</dc:creator>
  <cp:keywords/>
  <dc:description/>
  <cp:lastModifiedBy>FERRET Maeline</cp:lastModifiedBy>
  <cp:revision>2</cp:revision>
  <dcterms:created xsi:type="dcterms:W3CDTF">2024-02-08T11:55:00Z</dcterms:created>
  <dcterms:modified xsi:type="dcterms:W3CDTF">2024-02-08T11:55:00Z</dcterms:modified>
</cp:coreProperties>
</file>